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</w:t>
      </w:r>
      <w:r w:rsidR="004D0704">
        <w:rPr>
          <w:rFonts w:ascii="ScalaSansPro-Regular" w:hAnsi="ScalaSansPro-Regular"/>
          <w:sz w:val="24"/>
        </w:rPr>
        <w:t xml:space="preserve">                               </w:t>
      </w:r>
    </w:p>
    <w:p w:rsidR="00F52137" w:rsidRDefault="00F2445F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C2AF2">
        <w:rPr>
          <w:rFonts w:ascii="ScalaSansPro-Regular" w:hAnsi="ScalaSansPro-Regular"/>
          <w:bCs/>
          <w:sz w:val="16"/>
          <w:szCs w:val="16"/>
        </w:rPr>
        <w:t xml:space="preserve">       </w:t>
      </w:r>
      <w:r w:rsidR="00622530">
        <w:rPr>
          <w:rFonts w:ascii="ScalaSansPro-Regular" w:hAnsi="ScalaSansPro-Regular"/>
          <w:bCs/>
          <w:sz w:val="16"/>
          <w:szCs w:val="16"/>
        </w:rPr>
        <w:t xml:space="preserve">  Załącznik n</w:t>
      </w:r>
      <w:r w:rsidR="00B97958">
        <w:rPr>
          <w:rFonts w:ascii="ScalaSansPro-Regular" w:hAnsi="ScalaSansPro-Regular"/>
          <w:bCs/>
          <w:sz w:val="16"/>
          <w:szCs w:val="16"/>
        </w:rPr>
        <w:t>r 4</w:t>
      </w:r>
      <w:r w:rsidR="001C2AF2">
        <w:rPr>
          <w:rFonts w:ascii="ScalaSansPro-Regular" w:hAnsi="ScalaSansPro-Regular"/>
          <w:bCs/>
          <w:sz w:val="16"/>
          <w:szCs w:val="16"/>
        </w:rPr>
        <w:t xml:space="preserve"> -   ASP_BP-ROZWÓJ ASP</w:t>
      </w:r>
      <w:r w:rsidR="007534AC">
        <w:rPr>
          <w:rFonts w:ascii="ScalaSansPro-Regular" w:hAnsi="ScalaSansPro-Regular"/>
          <w:bCs/>
          <w:sz w:val="16"/>
          <w:szCs w:val="16"/>
        </w:rPr>
        <w:t>-601/ZO</w:t>
      </w:r>
      <w:r w:rsidR="007A53EA">
        <w:rPr>
          <w:rFonts w:ascii="ScalaSansPro-Regular" w:hAnsi="ScalaSansPro-Regular"/>
          <w:bCs/>
          <w:sz w:val="16"/>
          <w:szCs w:val="16"/>
        </w:rPr>
        <w:t>8</w:t>
      </w:r>
      <w:r w:rsidR="007534AC">
        <w:rPr>
          <w:rFonts w:ascii="ScalaSansPro-Regular" w:hAnsi="ScalaSansPro-Regular"/>
          <w:bCs/>
          <w:sz w:val="16"/>
          <w:szCs w:val="16"/>
        </w:rPr>
        <w:t>./</w:t>
      </w:r>
      <w:r w:rsidR="001C2AF2">
        <w:rPr>
          <w:rFonts w:ascii="ScalaSansPro-Regular" w:hAnsi="ScalaSansPro-Regular"/>
          <w:bCs/>
          <w:sz w:val="16"/>
          <w:szCs w:val="16"/>
        </w:rPr>
        <w:t>2019</w:t>
      </w: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83481E" w:rsidRPr="0083481E" w:rsidRDefault="00536C61" w:rsidP="0083481E">
      <w:pPr>
        <w:pStyle w:val="Tekstpodstawowywcity"/>
        <w:rPr>
          <w:rFonts w:ascii="ScalaSansPro-Regular" w:hAnsi="ScalaSansPro-Regular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="00B9556B">
        <w:rPr>
          <w:rFonts w:ascii="ScalaSansPro-Regular" w:hAnsi="ScalaSansPro-Regular"/>
        </w:rPr>
        <w:t xml:space="preserve"> </w:t>
      </w:r>
      <w:r w:rsidR="0083481E" w:rsidRPr="0083481E">
        <w:rPr>
          <w:rFonts w:ascii="ScalaSansPro-Regular" w:hAnsi="ScalaSansPro-Regular"/>
          <w:b/>
        </w:rPr>
        <w:t>„</w:t>
      </w:r>
      <w:r w:rsidR="007A53EA">
        <w:rPr>
          <w:rFonts w:ascii="ScalaSansPro-Regular" w:hAnsi="ScalaSansPro-Regular"/>
          <w:b/>
          <w:bCs/>
        </w:rPr>
        <w:t>P</w:t>
      </w:r>
      <w:r w:rsidR="007A53EA" w:rsidRPr="007A53EA">
        <w:rPr>
          <w:rFonts w:ascii="ScalaSansPro-Regular" w:hAnsi="ScalaSansPro-Regular"/>
          <w:b/>
          <w:bCs/>
        </w:rPr>
        <w:t xml:space="preserve">rzeprowadzenie kampanii promocyjnej Google </w:t>
      </w:r>
      <w:proofErr w:type="spellStart"/>
      <w:r w:rsidR="007A53EA" w:rsidRPr="007A53EA">
        <w:rPr>
          <w:rFonts w:ascii="ScalaSansPro-Regular" w:hAnsi="ScalaSansPro-Regular"/>
          <w:b/>
          <w:bCs/>
        </w:rPr>
        <w:t>Ads</w:t>
      </w:r>
      <w:proofErr w:type="spellEnd"/>
      <w:r w:rsidR="007A53EA" w:rsidRPr="007A53EA">
        <w:rPr>
          <w:rFonts w:ascii="ScalaSansPro-Regular" w:hAnsi="ScalaSansPro-Regular"/>
          <w:b/>
          <w:bCs/>
        </w:rPr>
        <w:t xml:space="preserve"> wybranych kierunków </w:t>
      </w:r>
      <w:proofErr w:type="spellStart"/>
      <w:r w:rsidR="007A53EA" w:rsidRPr="007A53EA">
        <w:rPr>
          <w:rFonts w:ascii="ScalaSansPro-Regular" w:hAnsi="ScalaSansPro-Regular"/>
          <w:b/>
          <w:bCs/>
        </w:rPr>
        <w:t>studi</w:t>
      </w:r>
      <w:proofErr w:type="spellEnd"/>
      <w:r w:rsidR="007A53EA" w:rsidRPr="007A53EA">
        <w:rPr>
          <w:rFonts w:ascii="ScalaSansPro-Regular" w:hAnsi="ScalaSansPro-Regular"/>
          <w:b/>
          <w:bCs/>
          <w:lang w:val="es-ES_tradnl"/>
        </w:rPr>
        <w:t>ó</w:t>
      </w:r>
      <w:r w:rsidR="007A53EA" w:rsidRPr="007A53EA">
        <w:rPr>
          <w:rFonts w:ascii="ScalaSansPro-Regular" w:hAnsi="ScalaSansPro-Regular"/>
          <w:b/>
          <w:bCs/>
        </w:rPr>
        <w:t>w prowadzonych w języku angielskim przez Wydział Projektowy Akademii Sztuk Pięknych w Katowicach w ramach budżetu kampanii w maksymalnej wartości 13 500 zł</w:t>
      </w:r>
      <w:r w:rsidR="0083481E" w:rsidRPr="0083481E">
        <w:rPr>
          <w:rFonts w:ascii="ScalaSansPro-Regular" w:hAnsi="ScalaSansPro-Regular"/>
        </w:rPr>
        <w:t>”</w:t>
      </w:r>
      <w:r w:rsidR="007D2A69">
        <w:rPr>
          <w:rFonts w:ascii="ScalaSansPro-Regular" w:hAnsi="ScalaSansPro-Regular"/>
        </w:rPr>
        <w:t xml:space="preserve"> </w:t>
      </w:r>
      <w:r w:rsidR="007D2A69" w:rsidRPr="007D2A69">
        <w:rPr>
          <w:rFonts w:ascii="ScalaSansPro-Regular" w:hAnsi="ScalaSansPro-Regular"/>
        </w:rPr>
        <w:t xml:space="preserve">w związku z realizacją projektu „Budowa narzędzi do promocji marki oraz kampania promocyjna kursów anglojęzycznych realizowanych w ASP w Katowicach,” finansowanego przez Narodową Agencję Wymiany Akademickiej w ramach programu „Nowoczesna promocja zagraniczna” (nr umowy </w:t>
      </w:r>
      <w:r w:rsidR="007D2A69" w:rsidRPr="007D2A69">
        <w:rPr>
          <w:rFonts w:ascii="ScalaSansPro-Regular" w:hAnsi="ScalaSansPro-Regular"/>
          <w:bCs/>
        </w:rPr>
        <w:t>PPI/NPZ/2018/1/00103/U/001)</w:t>
      </w:r>
    </w:p>
    <w:p w:rsidR="00CB1191" w:rsidRPr="00F52137" w:rsidRDefault="00CB119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brał udział w przygotowaniu postępowania o udzielenie zamówienia lub którego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>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DD3714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DD3714">
        <w:rPr>
          <w:rFonts w:ascii="ScalaSansPro-Regular" w:hAnsi="ScalaSansPro-Regular" w:cs="Arial"/>
        </w:rPr>
        <w:t>Oświadczam, że nie podlegam wykluczeniu z postępowania na podstawi</w:t>
      </w:r>
      <w:r w:rsidR="00536C61" w:rsidRPr="00DD3714">
        <w:rPr>
          <w:rFonts w:ascii="ScalaSansPro-Regular" w:hAnsi="ScalaSansPro-Regular" w:cs="Arial"/>
        </w:rPr>
        <w:t xml:space="preserve">e </w:t>
      </w:r>
      <w:r w:rsidR="00536C61" w:rsidRPr="00DD3714">
        <w:rPr>
          <w:rFonts w:ascii="ScalaSansPro-Regular" w:hAnsi="ScalaSansPro-Regular" w:cs="Arial"/>
        </w:rPr>
        <w:br/>
        <w:t xml:space="preserve">art. 24 ust. 5 </w:t>
      </w:r>
      <w:r w:rsidR="00536C61" w:rsidRPr="00DD3714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DD3714">
        <w:rPr>
          <w:rFonts w:ascii="ScalaSansPro-Regular" w:hAnsi="ScalaSansPro-Regular" w:cs="Arial"/>
        </w:rPr>
        <w:t xml:space="preserve"> pkt.</w:t>
      </w:r>
      <w:r w:rsidR="00536C61" w:rsidRPr="00DD3714">
        <w:rPr>
          <w:rFonts w:ascii="ScalaSansPro-Regular" w:hAnsi="ScalaSansPro-Regular" w:cs="Arial"/>
        </w:rPr>
        <w:t xml:space="preserve">  ……………………………………………………….. </w:t>
      </w:r>
      <w:r w:rsidRPr="00DD3714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DD3714">
        <w:rPr>
          <w:rFonts w:ascii="ScalaSansPro-Regular" w:hAnsi="ScalaSansPro-Regular" w:cs="Arial"/>
        </w:rPr>
        <w:t>późn</w:t>
      </w:r>
      <w:proofErr w:type="spellEnd"/>
      <w:r w:rsidRPr="00DD3714">
        <w:rPr>
          <w:rFonts w:ascii="ScalaSansPro-Regular" w:hAnsi="ScalaSansPro-Regular" w:cs="Arial"/>
        </w:rPr>
        <w:t>. zm.).</w:t>
      </w:r>
    </w:p>
    <w:p w:rsidR="00CB1191" w:rsidRPr="00DD3714" w:rsidRDefault="00CB1191" w:rsidP="00794551">
      <w:pPr>
        <w:pStyle w:val="Tekstpodstawowywcity"/>
        <w:rPr>
          <w:rFonts w:ascii="ScalaSansPro-Regular" w:hAnsi="ScalaSansPro-Regular"/>
          <w:sz w:val="22"/>
          <w:szCs w:val="22"/>
          <w:highlight w:val="yellow"/>
        </w:rPr>
      </w:pPr>
    </w:p>
    <w:p w:rsidR="00CB1191" w:rsidRPr="00DD3714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  <w:highlight w:val="yellow"/>
        </w:rPr>
      </w:pPr>
    </w:p>
    <w:p w:rsidR="00CB1191" w:rsidRPr="00DD3714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D3714">
        <w:rPr>
          <w:rFonts w:ascii="ScalaSansPro-Regular" w:hAnsi="ScalaSansPro-Regular"/>
          <w:sz w:val="22"/>
          <w:szCs w:val="22"/>
          <w:u w:val="dotted"/>
        </w:rPr>
        <w:tab/>
      </w:r>
      <w:r w:rsidRPr="00DD3714">
        <w:rPr>
          <w:rFonts w:ascii="ScalaSansPro-Regular" w:hAnsi="ScalaSansPro-Regular"/>
          <w:sz w:val="22"/>
          <w:szCs w:val="22"/>
        </w:rPr>
        <w:t xml:space="preserve"> dnia </w:t>
      </w:r>
      <w:r w:rsidRPr="00DD3714">
        <w:rPr>
          <w:rFonts w:ascii="ScalaSansPro-Regular" w:hAnsi="ScalaSansPro-Regular"/>
          <w:sz w:val="22"/>
          <w:szCs w:val="22"/>
          <w:u w:val="dotted"/>
        </w:rPr>
        <w:tab/>
      </w:r>
      <w:r w:rsidRPr="00DD3714">
        <w:rPr>
          <w:rFonts w:ascii="ScalaSansPro-Regular" w:hAnsi="ScalaSansPro-Regular"/>
          <w:sz w:val="22"/>
          <w:szCs w:val="22"/>
        </w:rPr>
        <w:tab/>
      </w:r>
      <w:r w:rsidR="00F52137" w:rsidRPr="00DD3714">
        <w:rPr>
          <w:rFonts w:ascii="ScalaSansPro-Regular" w:hAnsi="ScalaSansPro-Regular"/>
          <w:sz w:val="22"/>
          <w:szCs w:val="22"/>
        </w:rPr>
        <w:t xml:space="preserve">                </w:t>
      </w:r>
      <w:r w:rsidRPr="00DD3714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Pr="00DD3714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D3714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DD3714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D3714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C6626F" w:rsidRDefault="00C6626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 xml:space="preserve">OŚWIADCZENIE DOTYCZĄCE PODWYKONAWCY 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377ACF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377ACF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2D" w:rsidRDefault="00946D2D" w:rsidP="00025C6D">
      <w:r>
        <w:separator/>
      </w:r>
    </w:p>
  </w:endnote>
  <w:endnote w:type="continuationSeparator" w:id="0">
    <w:p w:rsidR="00946D2D" w:rsidRDefault="00946D2D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  <w:bookmarkStart w:id="0" w:name="_GoBack"/>
      <w:bookmarkEnd w:id="0"/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46D2D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377ACF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946D2D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2D" w:rsidRDefault="00946D2D" w:rsidP="00025C6D">
      <w:r>
        <w:separator/>
      </w:r>
    </w:p>
  </w:footnote>
  <w:footnote w:type="continuationSeparator" w:id="0">
    <w:p w:rsidR="00946D2D" w:rsidRDefault="00946D2D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69" w:rsidRDefault="007D2A69">
    <w:pPr>
      <w:pStyle w:val="Nagwek"/>
    </w:pPr>
    <w:r>
      <w:rPr>
        <w:noProof/>
      </w:rPr>
      <w:drawing>
        <wp:inline distT="0" distB="0" distL="0" distR="0" wp14:anchorId="40A56E32" wp14:editId="25814085">
          <wp:extent cx="1466975" cy="409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logo_dopuszcz_wers_podstawowa_PL_RGB-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083" cy="40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9467D"/>
    <w:rsid w:val="000F06E9"/>
    <w:rsid w:val="00125CAA"/>
    <w:rsid w:val="001C2AF2"/>
    <w:rsid w:val="001D464D"/>
    <w:rsid w:val="001D6951"/>
    <w:rsid w:val="002140FA"/>
    <w:rsid w:val="0023386C"/>
    <w:rsid w:val="002510F6"/>
    <w:rsid w:val="002E181E"/>
    <w:rsid w:val="00377ACF"/>
    <w:rsid w:val="003F27D7"/>
    <w:rsid w:val="003F3899"/>
    <w:rsid w:val="004402CC"/>
    <w:rsid w:val="004D0704"/>
    <w:rsid w:val="00536C61"/>
    <w:rsid w:val="00622530"/>
    <w:rsid w:val="00696A35"/>
    <w:rsid w:val="007175DE"/>
    <w:rsid w:val="007534AC"/>
    <w:rsid w:val="00771267"/>
    <w:rsid w:val="00794551"/>
    <w:rsid w:val="007957BA"/>
    <w:rsid w:val="007A53EA"/>
    <w:rsid w:val="007C7054"/>
    <w:rsid w:val="007D2A69"/>
    <w:rsid w:val="0083481E"/>
    <w:rsid w:val="008C1F54"/>
    <w:rsid w:val="00917AA8"/>
    <w:rsid w:val="00946D2D"/>
    <w:rsid w:val="00A53FE6"/>
    <w:rsid w:val="00AB2A96"/>
    <w:rsid w:val="00AC1FA3"/>
    <w:rsid w:val="00B465AF"/>
    <w:rsid w:val="00B9556B"/>
    <w:rsid w:val="00B97958"/>
    <w:rsid w:val="00C6626F"/>
    <w:rsid w:val="00C92C33"/>
    <w:rsid w:val="00CB1191"/>
    <w:rsid w:val="00D2131F"/>
    <w:rsid w:val="00DD1516"/>
    <w:rsid w:val="00DD3714"/>
    <w:rsid w:val="00E128DB"/>
    <w:rsid w:val="00E83F2C"/>
    <w:rsid w:val="00EB1ACE"/>
    <w:rsid w:val="00F244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978C-CB3C-423D-9983-741B6B63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Renata Lipczak</cp:lastModifiedBy>
  <cp:revision>2</cp:revision>
  <cp:lastPrinted>2019-03-08T07:54:00Z</cp:lastPrinted>
  <dcterms:created xsi:type="dcterms:W3CDTF">2019-05-09T11:14:00Z</dcterms:created>
  <dcterms:modified xsi:type="dcterms:W3CDTF">2019-05-09T11:14:00Z</dcterms:modified>
</cp:coreProperties>
</file>