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F14" w:rsidRPr="00C04F14" w:rsidRDefault="00C04F14" w:rsidP="00C04F14">
      <w:pPr>
        <w:jc w:val="center"/>
        <w:rPr>
          <w:rFonts w:ascii="ScalaSansPro-Regular" w:hAnsi="ScalaSansPro-Regular"/>
          <w:b/>
          <w:sz w:val="20"/>
          <w:szCs w:val="20"/>
        </w:rPr>
      </w:pPr>
      <w:r>
        <w:rPr>
          <w:rFonts w:ascii="ScalaSansPro-Regular" w:hAnsi="ScalaSansPro-Regular"/>
          <w:b/>
          <w:sz w:val="24"/>
          <w:szCs w:val="24"/>
        </w:rPr>
        <w:t xml:space="preserve">                                                                </w:t>
      </w:r>
      <w:r w:rsidRPr="00C04F14">
        <w:rPr>
          <w:rFonts w:ascii="ScalaSansPro-Regular" w:hAnsi="ScalaSansPro-Regular"/>
          <w:b/>
          <w:sz w:val="20"/>
          <w:szCs w:val="20"/>
        </w:rPr>
        <w:t>Załącznik nr 1 do Uchwały nr 18/2015</w:t>
      </w:r>
    </w:p>
    <w:p w:rsidR="00C04F14" w:rsidRPr="00C04F14" w:rsidRDefault="00C04F14" w:rsidP="00C04F14">
      <w:pPr>
        <w:rPr>
          <w:rFonts w:ascii="ScalaSansPro-Regular" w:hAnsi="ScalaSansPro-Regular"/>
          <w:b/>
          <w:sz w:val="20"/>
          <w:szCs w:val="20"/>
        </w:rPr>
      </w:pPr>
      <w:r w:rsidRPr="00C04F14">
        <w:rPr>
          <w:rFonts w:ascii="ScalaSansPro-Regular" w:hAnsi="ScalaSansPro-Regular"/>
          <w:b/>
          <w:sz w:val="20"/>
          <w:szCs w:val="20"/>
        </w:rPr>
        <w:t xml:space="preserve">                                                               </w:t>
      </w:r>
      <w:r>
        <w:rPr>
          <w:rFonts w:ascii="ScalaSansPro-Regular" w:hAnsi="ScalaSansPro-Regular"/>
          <w:b/>
          <w:sz w:val="20"/>
          <w:szCs w:val="20"/>
        </w:rPr>
        <w:t xml:space="preserve">                           </w:t>
      </w:r>
      <w:r w:rsidRPr="00C04F14">
        <w:rPr>
          <w:rFonts w:ascii="ScalaSansPro-Regular" w:hAnsi="ScalaSansPro-Regular"/>
          <w:b/>
          <w:sz w:val="20"/>
          <w:szCs w:val="20"/>
        </w:rPr>
        <w:t>Senatu ASP w Katowicach z dnia 29.06.2015 r.</w:t>
      </w:r>
    </w:p>
    <w:p w:rsidR="00C04F14" w:rsidRDefault="00C04F14" w:rsidP="001D4A3D">
      <w:pPr>
        <w:jc w:val="center"/>
        <w:rPr>
          <w:rFonts w:ascii="ScalaSansPro-Regular" w:hAnsi="ScalaSansPro-Regular"/>
          <w:b/>
          <w:sz w:val="24"/>
          <w:szCs w:val="24"/>
        </w:rPr>
      </w:pPr>
    </w:p>
    <w:p w:rsidR="001D4A3D" w:rsidRPr="000538BF" w:rsidRDefault="001D4A3D" w:rsidP="001D4A3D">
      <w:pPr>
        <w:jc w:val="center"/>
        <w:rPr>
          <w:rFonts w:ascii="ScalaSansPro-Regular" w:hAnsi="ScalaSansPro-Regular"/>
          <w:b/>
          <w:sz w:val="24"/>
          <w:szCs w:val="24"/>
        </w:rPr>
      </w:pPr>
      <w:r w:rsidRPr="000538BF">
        <w:rPr>
          <w:rFonts w:ascii="ScalaSansPro-Regular" w:hAnsi="ScalaSansPro-Regular"/>
          <w:b/>
          <w:sz w:val="24"/>
          <w:szCs w:val="24"/>
        </w:rPr>
        <w:t xml:space="preserve">REGULAMIN </w:t>
      </w:r>
    </w:p>
    <w:p w:rsidR="001D4A3D" w:rsidRPr="000538BF" w:rsidRDefault="001D4A3D" w:rsidP="001D4A3D">
      <w:pPr>
        <w:jc w:val="center"/>
        <w:rPr>
          <w:rFonts w:ascii="ScalaSansPro-Regular" w:hAnsi="ScalaSansPro-Regular"/>
          <w:b/>
          <w:sz w:val="24"/>
          <w:szCs w:val="24"/>
        </w:rPr>
      </w:pPr>
      <w:r w:rsidRPr="000538BF">
        <w:rPr>
          <w:rFonts w:ascii="ScalaSansPro-Regular" w:hAnsi="ScalaSansPro-Regular"/>
          <w:b/>
          <w:sz w:val="24"/>
          <w:szCs w:val="24"/>
        </w:rPr>
        <w:t>POTWIERDZANIA EFEKTÓW UCZENIA SIĘ</w:t>
      </w:r>
    </w:p>
    <w:p w:rsidR="001D4A3D" w:rsidRPr="000538BF" w:rsidRDefault="001D4A3D" w:rsidP="001D4A3D">
      <w:pPr>
        <w:jc w:val="center"/>
        <w:rPr>
          <w:rFonts w:ascii="ScalaSansPro-Regular" w:hAnsi="ScalaSansPro-Regular"/>
          <w:b/>
          <w:sz w:val="24"/>
          <w:szCs w:val="24"/>
        </w:rPr>
      </w:pPr>
      <w:r w:rsidRPr="000538BF">
        <w:rPr>
          <w:rFonts w:ascii="ScalaSansPro-Regular" w:hAnsi="ScalaSansPro-Regular"/>
          <w:b/>
          <w:sz w:val="24"/>
          <w:szCs w:val="24"/>
        </w:rPr>
        <w:t>W AKADEMII SZTUK PIĘKNYCH W KATOWICACH</w:t>
      </w:r>
    </w:p>
    <w:p w:rsidR="001D4A3D" w:rsidRPr="000538BF" w:rsidRDefault="001D4A3D" w:rsidP="001D4A3D">
      <w:pPr>
        <w:jc w:val="center"/>
        <w:rPr>
          <w:rFonts w:ascii="ScalaSansPro-Regular" w:hAnsi="ScalaSansPro-Regular"/>
          <w:b/>
          <w:sz w:val="24"/>
          <w:szCs w:val="24"/>
        </w:rPr>
      </w:pPr>
    </w:p>
    <w:p w:rsidR="001D4A3D" w:rsidRPr="000538BF" w:rsidRDefault="001D4A3D" w:rsidP="001D4A3D">
      <w:pPr>
        <w:jc w:val="center"/>
        <w:rPr>
          <w:rFonts w:ascii="ScalaSansPro-Regular" w:hAnsi="ScalaSansPro-Regular"/>
          <w:b/>
        </w:rPr>
      </w:pPr>
      <w:r w:rsidRPr="000538BF">
        <w:rPr>
          <w:rFonts w:ascii="ScalaSansPro-Regular" w:hAnsi="ScalaSansPro-Regular"/>
          <w:b/>
        </w:rPr>
        <w:t>Postanowienia ogólne</w:t>
      </w:r>
    </w:p>
    <w:p w:rsidR="001D4A3D" w:rsidRPr="000538BF" w:rsidRDefault="001D4A3D" w:rsidP="001D4A3D">
      <w:pPr>
        <w:spacing w:after="0"/>
        <w:jc w:val="center"/>
        <w:rPr>
          <w:rFonts w:ascii="ScalaSansPro-Regular" w:hAnsi="ScalaSansPro-Regular"/>
        </w:rPr>
      </w:pPr>
      <w:r w:rsidRPr="000538BF">
        <w:rPr>
          <w:rFonts w:ascii="ScalaSansPro-Regular" w:hAnsi="ScalaSansPro-Regular"/>
        </w:rPr>
        <w:t>§ 1</w:t>
      </w:r>
    </w:p>
    <w:p w:rsidR="001D4A3D" w:rsidRPr="000538BF" w:rsidRDefault="001D4A3D" w:rsidP="001D4A3D">
      <w:pPr>
        <w:pStyle w:val="Akapitzlist"/>
        <w:numPr>
          <w:ilvl w:val="0"/>
          <w:numId w:val="4"/>
        </w:numPr>
        <w:spacing w:after="0"/>
        <w:ind w:left="284" w:hanging="284"/>
        <w:jc w:val="both"/>
        <w:rPr>
          <w:rFonts w:ascii="ScalaSansPro-Regular" w:hAnsi="ScalaSansPro-Regular"/>
        </w:rPr>
      </w:pPr>
      <w:r w:rsidRPr="000538BF">
        <w:rPr>
          <w:rFonts w:ascii="ScalaSansPro-Regular" w:hAnsi="ScalaSansPro-Regular"/>
        </w:rPr>
        <w:t xml:space="preserve">Niniejszy Regulamin, określa: </w:t>
      </w:r>
    </w:p>
    <w:p w:rsidR="001D4A3D" w:rsidRPr="000538BF" w:rsidRDefault="001D4A3D" w:rsidP="001D4A3D">
      <w:pPr>
        <w:pStyle w:val="Akapitzlist"/>
        <w:numPr>
          <w:ilvl w:val="0"/>
          <w:numId w:val="5"/>
        </w:numPr>
        <w:spacing w:after="0"/>
        <w:jc w:val="both"/>
        <w:rPr>
          <w:rFonts w:ascii="ScalaSansPro-Regular" w:hAnsi="ScalaSansPro-Regular"/>
        </w:rPr>
      </w:pPr>
      <w:r w:rsidRPr="000538BF">
        <w:rPr>
          <w:rFonts w:ascii="ScalaSansPro-Regular" w:hAnsi="ScalaSansPro-Regular"/>
        </w:rPr>
        <w:t xml:space="preserve">zasady, warunki i tryb potwierdzania efektów uczenia się, </w:t>
      </w:r>
    </w:p>
    <w:p w:rsidR="001D4A3D" w:rsidRPr="000538BF" w:rsidRDefault="001D4A3D" w:rsidP="001D4A3D">
      <w:pPr>
        <w:pStyle w:val="Akapitzlist"/>
        <w:numPr>
          <w:ilvl w:val="0"/>
          <w:numId w:val="5"/>
        </w:numPr>
        <w:spacing w:after="0"/>
        <w:jc w:val="both"/>
        <w:rPr>
          <w:rFonts w:ascii="ScalaSansPro-Regular" w:hAnsi="ScalaSansPro-Regular"/>
        </w:rPr>
      </w:pPr>
      <w:r w:rsidRPr="000538BF">
        <w:rPr>
          <w:rFonts w:ascii="ScalaSansPro-Regular" w:hAnsi="ScalaSansPro-Regular"/>
        </w:rPr>
        <w:t xml:space="preserve">sposób powoływania i tryb działania komisji weryfikujących efekty uczenia się. </w:t>
      </w:r>
    </w:p>
    <w:p w:rsidR="001D4A3D" w:rsidRPr="000538BF" w:rsidRDefault="001D4A3D" w:rsidP="001D4A3D">
      <w:pPr>
        <w:pStyle w:val="Akapitzlist"/>
        <w:numPr>
          <w:ilvl w:val="0"/>
          <w:numId w:val="4"/>
        </w:numPr>
        <w:spacing w:after="0"/>
        <w:ind w:left="284" w:hanging="284"/>
        <w:jc w:val="both"/>
        <w:rPr>
          <w:rFonts w:ascii="ScalaSansPro-Regular" w:hAnsi="ScalaSansPro-Regular"/>
        </w:rPr>
      </w:pPr>
      <w:r w:rsidRPr="000538BF">
        <w:rPr>
          <w:rFonts w:ascii="ScalaSansPro-Regular" w:hAnsi="ScalaSansPro-Regular"/>
        </w:rPr>
        <w:t xml:space="preserve">Przepisy Regulaminu stosuje się do osób ubiegających się o potwierdzenie efektów uczenia się w Akademii Sztuk Pięknych w Katowicach (zwanego dalej także „Akademią”) począwszy od ubiegających się o przyjęcie na studia w roku akademickim 2016/2017. </w:t>
      </w:r>
    </w:p>
    <w:p w:rsidR="001D4A3D" w:rsidRPr="000538BF" w:rsidRDefault="001D4A3D" w:rsidP="001D4A3D">
      <w:pPr>
        <w:spacing w:after="0"/>
        <w:rPr>
          <w:rFonts w:ascii="ScalaSansPro-Regular" w:hAnsi="ScalaSansPro-Regular"/>
        </w:rPr>
      </w:pPr>
    </w:p>
    <w:p w:rsidR="001D4A3D" w:rsidRPr="000538BF" w:rsidRDefault="001D4A3D" w:rsidP="001D4A3D">
      <w:pPr>
        <w:spacing w:after="0"/>
        <w:jc w:val="center"/>
        <w:rPr>
          <w:rFonts w:ascii="ScalaSansPro-Regular" w:hAnsi="ScalaSansPro-Regular"/>
        </w:rPr>
      </w:pPr>
      <w:r w:rsidRPr="000538BF">
        <w:rPr>
          <w:rFonts w:ascii="ScalaSansPro-Regular" w:hAnsi="ScalaSansPro-Regular"/>
        </w:rPr>
        <w:t>§ 2</w:t>
      </w:r>
    </w:p>
    <w:p w:rsidR="001D4A3D" w:rsidRPr="000538BF" w:rsidRDefault="001D4A3D" w:rsidP="001D4A3D">
      <w:pPr>
        <w:spacing w:after="0"/>
        <w:rPr>
          <w:rFonts w:ascii="ScalaSansPro-Regular" w:hAnsi="ScalaSansPro-Regular"/>
        </w:rPr>
      </w:pPr>
      <w:r w:rsidRPr="000538BF">
        <w:rPr>
          <w:rFonts w:ascii="ScalaSansPro-Regular" w:hAnsi="ScalaSansPro-Regular"/>
        </w:rPr>
        <w:t xml:space="preserve">Użyte w Regulaminie określenia oznaczają: </w:t>
      </w:r>
    </w:p>
    <w:p w:rsidR="001D4A3D" w:rsidRPr="000538BF" w:rsidRDefault="001D4A3D" w:rsidP="001D4A3D">
      <w:pPr>
        <w:pStyle w:val="Akapitzlist"/>
        <w:numPr>
          <w:ilvl w:val="0"/>
          <w:numId w:val="6"/>
        </w:numPr>
        <w:spacing w:after="0"/>
        <w:ind w:left="426" w:hanging="284"/>
        <w:jc w:val="both"/>
        <w:rPr>
          <w:rFonts w:ascii="ScalaSansPro-Regular" w:hAnsi="ScalaSansPro-Regular"/>
        </w:rPr>
      </w:pPr>
      <w:r w:rsidRPr="000538BF">
        <w:rPr>
          <w:rFonts w:ascii="ScalaSansPro-Regular" w:hAnsi="ScalaSansPro-Regular"/>
        </w:rPr>
        <w:t xml:space="preserve">ustawa – ustawę z dnia 27 lipca 2005 r. – Prawo o szkolnictwie wyższym (Dz. U. z 2012 r., poz. 572 z późn. zm.), </w:t>
      </w:r>
    </w:p>
    <w:p w:rsidR="001D4A3D" w:rsidRPr="000538BF" w:rsidRDefault="001D4A3D" w:rsidP="001D4A3D">
      <w:pPr>
        <w:pStyle w:val="Akapitzlist"/>
        <w:numPr>
          <w:ilvl w:val="0"/>
          <w:numId w:val="6"/>
        </w:numPr>
        <w:spacing w:after="0"/>
        <w:ind w:left="426" w:hanging="284"/>
        <w:jc w:val="both"/>
        <w:rPr>
          <w:rFonts w:ascii="ScalaSansPro-Regular" w:hAnsi="ScalaSansPro-Regular"/>
        </w:rPr>
      </w:pPr>
      <w:r w:rsidRPr="000538BF">
        <w:rPr>
          <w:rFonts w:ascii="ScalaSansPro-Regular" w:hAnsi="ScalaSansPro-Regular"/>
        </w:rPr>
        <w:t>jednostka – podstawowa jednostka organizacyjna Akademii, w tym wydział,</w:t>
      </w:r>
    </w:p>
    <w:p w:rsidR="001D4A3D" w:rsidRPr="000538BF" w:rsidRDefault="001D4A3D" w:rsidP="001D4A3D">
      <w:pPr>
        <w:pStyle w:val="Akapitzlist"/>
        <w:numPr>
          <w:ilvl w:val="0"/>
          <w:numId w:val="6"/>
        </w:numPr>
        <w:spacing w:after="0"/>
        <w:ind w:left="426" w:hanging="284"/>
        <w:jc w:val="both"/>
        <w:rPr>
          <w:rFonts w:ascii="ScalaSansPro-Regular" w:hAnsi="ScalaSansPro-Regular"/>
        </w:rPr>
      </w:pPr>
      <w:r w:rsidRPr="000538BF">
        <w:rPr>
          <w:rFonts w:ascii="ScalaSansPro-Regular" w:hAnsi="ScalaSansPro-Regular"/>
        </w:rPr>
        <w:t>kierownik jednostki – Dziekan Wydziału lub kierownik innej jednostki,</w:t>
      </w:r>
    </w:p>
    <w:p w:rsidR="001D4A3D" w:rsidRPr="000538BF" w:rsidRDefault="001D4A3D" w:rsidP="001D4A3D">
      <w:pPr>
        <w:pStyle w:val="Akapitzlist"/>
        <w:numPr>
          <w:ilvl w:val="0"/>
          <w:numId w:val="6"/>
        </w:numPr>
        <w:spacing w:after="0"/>
        <w:ind w:left="426" w:hanging="284"/>
        <w:jc w:val="both"/>
        <w:rPr>
          <w:rFonts w:ascii="ScalaSansPro-Regular" w:hAnsi="ScalaSansPro-Regular"/>
        </w:rPr>
      </w:pPr>
      <w:r w:rsidRPr="000538BF">
        <w:rPr>
          <w:rFonts w:ascii="ScalaSansPro-Regular" w:hAnsi="ScalaSansPro-Regular"/>
        </w:rPr>
        <w:t xml:space="preserve">edukacja formalna - uczenie się przez udział w procesie kształcenia w systemie studiów pierwszego, drugiego oraz trzeciego stopnia, jednolitych studiów magisterskich </w:t>
      </w:r>
    </w:p>
    <w:p w:rsidR="001D4A3D" w:rsidRPr="000538BF" w:rsidRDefault="001D4A3D" w:rsidP="001D4A3D">
      <w:pPr>
        <w:pStyle w:val="Akapitzlist"/>
        <w:numPr>
          <w:ilvl w:val="0"/>
          <w:numId w:val="6"/>
        </w:numPr>
        <w:spacing w:after="0"/>
        <w:ind w:left="426" w:hanging="284"/>
        <w:jc w:val="both"/>
        <w:rPr>
          <w:rFonts w:ascii="ScalaSansPro-Regular" w:hAnsi="ScalaSansPro-Regular"/>
        </w:rPr>
      </w:pPr>
      <w:r w:rsidRPr="000538BF">
        <w:rPr>
          <w:rFonts w:ascii="ScalaSansPro-Regular" w:hAnsi="ScalaSansPro-Regular"/>
        </w:rPr>
        <w:t>edukacja pozaformalna - uczenie się zorganizowane instytucjonalnie poza systemem studiów, obejmujące w szczególności kursy, szkolenia, naukę języków obcych oraz inne formy kształcenia z wykorzystaniem otwartych zasobów edukacyjnych,</w:t>
      </w:r>
    </w:p>
    <w:p w:rsidR="001D4A3D" w:rsidRPr="000538BF" w:rsidRDefault="001D4A3D" w:rsidP="001D4A3D">
      <w:pPr>
        <w:pStyle w:val="Akapitzlist"/>
        <w:numPr>
          <w:ilvl w:val="0"/>
          <w:numId w:val="6"/>
        </w:numPr>
        <w:spacing w:after="0"/>
        <w:ind w:left="426" w:hanging="284"/>
        <w:jc w:val="both"/>
        <w:rPr>
          <w:rFonts w:ascii="ScalaSansPro-Regular" w:hAnsi="ScalaSansPro-Regular"/>
        </w:rPr>
      </w:pPr>
      <w:r w:rsidRPr="000538BF">
        <w:rPr>
          <w:rFonts w:ascii="ScalaSansPro-Regular" w:hAnsi="ScalaSansPro-Regular"/>
        </w:rPr>
        <w:t xml:space="preserve">edukacja nieformalna (uczenie się nieformalne) - uczenie się niezorganizowane instytucjonalnie, realizowane w sposób i metodami zwiększającymi zasób wiedzy, umiejętności i kompetencji społecznych, </w:t>
      </w:r>
      <w:r w:rsidR="006958A4" w:rsidRPr="000538BF">
        <w:rPr>
          <w:rFonts w:ascii="ScalaSansPro-Regular" w:hAnsi="ScalaSansPro-Regular"/>
        </w:rPr>
        <w:t xml:space="preserve"> </w:t>
      </w:r>
    </w:p>
    <w:p w:rsidR="001D4A3D" w:rsidRPr="000538BF" w:rsidRDefault="001D4A3D" w:rsidP="001D4A3D">
      <w:pPr>
        <w:pStyle w:val="Akapitzlist"/>
        <w:numPr>
          <w:ilvl w:val="0"/>
          <w:numId w:val="6"/>
        </w:numPr>
        <w:spacing w:after="0"/>
        <w:ind w:left="426" w:hanging="284"/>
        <w:jc w:val="both"/>
        <w:rPr>
          <w:rFonts w:ascii="ScalaSansPro-Regular" w:hAnsi="ScalaSansPro-Regular"/>
        </w:rPr>
      </w:pPr>
      <w:r w:rsidRPr="000538BF">
        <w:rPr>
          <w:rFonts w:ascii="ScalaSansPro-Regular" w:hAnsi="ScalaSansPro-Regular"/>
        </w:rPr>
        <w:t xml:space="preserve">program kształcenia - opis określonych przez Akademię spójnych efektów kształcenia, zgodny z Krajowymi Ramami Kwalifikacji dla Szkolnictwa Wyższego, oraz opis procesu kształcenia, prowadzącego do osiągnięcia tych efektów, wraz z przypisanymi do poszczególnych modułów tego procesu punktami ECTS, </w:t>
      </w:r>
    </w:p>
    <w:p w:rsidR="001D4A3D" w:rsidRPr="000538BF" w:rsidRDefault="001D4A3D" w:rsidP="001D4A3D">
      <w:pPr>
        <w:pStyle w:val="Akapitzlist"/>
        <w:numPr>
          <w:ilvl w:val="0"/>
          <w:numId w:val="6"/>
        </w:numPr>
        <w:spacing w:after="0"/>
        <w:ind w:left="426" w:hanging="284"/>
        <w:jc w:val="both"/>
        <w:rPr>
          <w:rFonts w:ascii="ScalaSansPro-Regular" w:hAnsi="ScalaSansPro-Regular"/>
        </w:rPr>
      </w:pPr>
      <w:r w:rsidRPr="000538BF">
        <w:rPr>
          <w:rFonts w:ascii="ScalaSansPro-Regular" w:hAnsi="ScalaSansPro-Regular"/>
        </w:rPr>
        <w:t xml:space="preserve">efekty kształcenia – zasób wiedzy, umiejętności i kompetencji społecznych uzyskiwanych przez studenta w procesie kształcenia w systemie studiów oraz studiów trzeciego stopnia, </w:t>
      </w:r>
    </w:p>
    <w:p w:rsidR="001D4A3D" w:rsidRPr="000538BF" w:rsidRDefault="001D4A3D" w:rsidP="001D4A3D">
      <w:pPr>
        <w:pStyle w:val="Akapitzlist"/>
        <w:numPr>
          <w:ilvl w:val="0"/>
          <w:numId w:val="6"/>
        </w:numPr>
        <w:spacing w:after="0"/>
        <w:ind w:left="426" w:hanging="284"/>
        <w:jc w:val="both"/>
        <w:rPr>
          <w:rFonts w:ascii="ScalaSansPro-Regular" w:hAnsi="ScalaSansPro-Regular"/>
        </w:rPr>
      </w:pPr>
      <w:r w:rsidRPr="000538BF">
        <w:rPr>
          <w:rFonts w:ascii="ScalaSansPro-Regular" w:hAnsi="ScalaSansPro-Regular"/>
        </w:rPr>
        <w:t xml:space="preserve">efekty uczenia się - zasób wiedzy, umiejętności oraz kompetencji społecznych nabytych w procesie uczenia się poza systemem studiów, </w:t>
      </w:r>
    </w:p>
    <w:p w:rsidR="001D4A3D" w:rsidRPr="000538BF" w:rsidRDefault="001D4A3D" w:rsidP="000A35C3">
      <w:pPr>
        <w:pStyle w:val="Akapitzlist"/>
        <w:numPr>
          <w:ilvl w:val="0"/>
          <w:numId w:val="6"/>
        </w:numPr>
        <w:spacing w:after="0"/>
        <w:ind w:left="426" w:hanging="284"/>
        <w:rPr>
          <w:rFonts w:ascii="ScalaSansPro-Regular" w:hAnsi="ScalaSansPro-Regular"/>
        </w:rPr>
      </w:pPr>
      <w:r w:rsidRPr="000538BF">
        <w:rPr>
          <w:rFonts w:ascii="ScalaSansPro-Regular" w:hAnsi="ScalaSansPro-Regular"/>
        </w:rPr>
        <w:t xml:space="preserve">potwierdzanie efektów uczenia się – formalny proces weryfikacji posiadanych efektów uczenia się zorganizowanego instytucjonalnie poza systemem studiów oraz uczenia się </w:t>
      </w:r>
      <w:r w:rsidRPr="000538BF">
        <w:rPr>
          <w:rFonts w:ascii="ScalaSansPro-Regular" w:hAnsi="ScalaSansPro-Regular"/>
        </w:rPr>
        <w:lastRenderedPageBreak/>
        <w:t>niezorganizowanego instytucjonalni</w:t>
      </w:r>
      <w:r w:rsidR="000A35C3" w:rsidRPr="000538BF">
        <w:rPr>
          <w:rFonts w:ascii="ScalaSansPro-Regular" w:hAnsi="ScalaSansPro-Regular"/>
        </w:rPr>
        <w:t xml:space="preserve">e </w:t>
      </w:r>
      <w:r w:rsidRPr="000538BF">
        <w:rPr>
          <w:rFonts w:ascii="ScalaSansPro-Regular" w:hAnsi="ScalaSansPro-Regular"/>
        </w:rPr>
        <w:t xml:space="preserve">realizowanego w sposób i metodami zwiększającymi zasób wiedzy, umiejętności i kompetencji społecznych, </w:t>
      </w:r>
    </w:p>
    <w:p w:rsidR="001D4A3D" w:rsidRPr="000538BF" w:rsidRDefault="001D4A3D" w:rsidP="001D4A3D">
      <w:pPr>
        <w:pStyle w:val="Akapitzlist"/>
        <w:numPr>
          <w:ilvl w:val="0"/>
          <w:numId w:val="6"/>
        </w:numPr>
        <w:spacing w:after="0"/>
        <w:ind w:left="426" w:hanging="284"/>
        <w:jc w:val="both"/>
        <w:rPr>
          <w:rFonts w:ascii="ScalaSansPro-Regular" w:hAnsi="ScalaSansPro-Regular"/>
        </w:rPr>
      </w:pPr>
      <w:r w:rsidRPr="000538BF">
        <w:rPr>
          <w:rFonts w:ascii="ScalaSansPro-Regular" w:hAnsi="ScalaSansPro-Regular"/>
        </w:rPr>
        <w:t>kandydat – osoba ubiegająca się o uznanie efektów uczenia się nabytych w drodze kształcenia nieformalnego i pozaformalnego.</w:t>
      </w:r>
    </w:p>
    <w:p w:rsidR="001D4A3D" w:rsidRPr="000538BF" w:rsidRDefault="001D4A3D" w:rsidP="001D4A3D">
      <w:pPr>
        <w:spacing w:after="0"/>
        <w:rPr>
          <w:rFonts w:ascii="ScalaSansPro-Regular" w:hAnsi="ScalaSansPro-Regular"/>
        </w:rPr>
      </w:pPr>
    </w:p>
    <w:p w:rsidR="001D4A3D" w:rsidRPr="000538BF" w:rsidRDefault="001D4A3D" w:rsidP="001D4A3D">
      <w:pPr>
        <w:spacing w:after="0"/>
        <w:jc w:val="center"/>
        <w:rPr>
          <w:rFonts w:ascii="ScalaSansPro-Regular" w:hAnsi="ScalaSansPro-Regular"/>
        </w:rPr>
      </w:pPr>
      <w:r w:rsidRPr="000538BF">
        <w:rPr>
          <w:rFonts w:ascii="ScalaSansPro-Regular" w:hAnsi="ScalaSansPro-Regular"/>
        </w:rPr>
        <w:t>§ 3</w:t>
      </w:r>
    </w:p>
    <w:p w:rsidR="001D4A3D" w:rsidRPr="000538BF" w:rsidRDefault="001D4A3D" w:rsidP="001D4A3D">
      <w:pPr>
        <w:pStyle w:val="Akapitzlist"/>
        <w:numPr>
          <w:ilvl w:val="0"/>
          <w:numId w:val="21"/>
        </w:numPr>
        <w:spacing w:after="0"/>
        <w:ind w:left="284" w:hanging="284"/>
        <w:jc w:val="both"/>
        <w:rPr>
          <w:rFonts w:ascii="ScalaSansPro-Regular" w:hAnsi="ScalaSansPro-Regular"/>
        </w:rPr>
      </w:pPr>
      <w:r w:rsidRPr="000538BF">
        <w:rPr>
          <w:rFonts w:ascii="ScalaSansPro-Regular" w:hAnsi="ScalaSansPro-Regular"/>
        </w:rPr>
        <w:t>Potwierdzanie efektów uczenia się pozwala na ułatwienie dostępu do studiów wyższych osobom dojrzałym w celu umożliwienia im ukończenia studiów w specjalnym trybie uwzględniającym wcześniej uzyskaną wiedzę, umiejętności i kompetencje.</w:t>
      </w:r>
    </w:p>
    <w:p w:rsidR="001D4A3D" w:rsidRPr="000538BF" w:rsidRDefault="001D4A3D" w:rsidP="001D4A3D">
      <w:pPr>
        <w:pStyle w:val="Akapitzlist"/>
        <w:numPr>
          <w:ilvl w:val="0"/>
          <w:numId w:val="21"/>
        </w:numPr>
        <w:spacing w:after="0"/>
        <w:ind w:left="284" w:hanging="284"/>
        <w:jc w:val="both"/>
        <w:rPr>
          <w:rFonts w:ascii="ScalaSansPro-Regular" w:hAnsi="ScalaSansPro-Regular"/>
        </w:rPr>
      </w:pPr>
      <w:r w:rsidRPr="000538BF">
        <w:rPr>
          <w:rFonts w:ascii="ScalaSansPro-Regular" w:hAnsi="ScalaSansPro-Regular"/>
        </w:rPr>
        <w:t xml:space="preserve">W efekcie potwierdzenia efektów uczenia się, na skutek którego następuje przyjęcia na studia wyższe, możliwe jest skrócenie czasu odbywanych studiów lub zmniejszenie natężenia zajęć poprzez zaliczenie określonych przedmiotów i przypisanie im odpowiedniej liczby punktów ECTS. </w:t>
      </w:r>
    </w:p>
    <w:p w:rsidR="001D4A3D" w:rsidRPr="000538BF" w:rsidRDefault="001D4A3D" w:rsidP="001D4A3D">
      <w:pPr>
        <w:spacing w:after="0"/>
        <w:jc w:val="both"/>
        <w:rPr>
          <w:rFonts w:ascii="ScalaSansPro-Regular" w:hAnsi="ScalaSansPro-Regular"/>
        </w:rPr>
      </w:pPr>
    </w:p>
    <w:p w:rsidR="001D4A3D" w:rsidRPr="000538BF" w:rsidRDefault="001D4A3D" w:rsidP="001D4A3D">
      <w:pPr>
        <w:spacing w:after="0"/>
        <w:jc w:val="center"/>
        <w:rPr>
          <w:rFonts w:ascii="ScalaSansPro-Regular" w:hAnsi="ScalaSansPro-Regular"/>
          <w:b/>
        </w:rPr>
      </w:pPr>
      <w:r w:rsidRPr="000538BF">
        <w:rPr>
          <w:rFonts w:ascii="ScalaSansPro-Regular" w:hAnsi="ScalaSansPro-Regular"/>
          <w:b/>
        </w:rPr>
        <w:t>Zasady potwierdzania efektów uczenia się</w:t>
      </w:r>
    </w:p>
    <w:p w:rsidR="001D4A3D" w:rsidRPr="000538BF" w:rsidRDefault="001D4A3D" w:rsidP="001D4A3D">
      <w:pPr>
        <w:spacing w:after="0"/>
        <w:jc w:val="center"/>
        <w:rPr>
          <w:rFonts w:ascii="ScalaSansPro-Regular" w:hAnsi="ScalaSansPro-Regular"/>
        </w:rPr>
      </w:pPr>
    </w:p>
    <w:p w:rsidR="001D4A3D" w:rsidRPr="000538BF" w:rsidRDefault="001D4A3D" w:rsidP="001D4A3D">
      <w:pPr>
        <w:spacing w:after="0"/>
        <w:jc w:val="center"/>
        <w:rPr>
          <w:rFonts w:ascii="ScalaSansPro-Regular" w:hAnsi="ScalaSansPro-Regular"/>
        </w:rPr>
      </w:pPr>
      <w:r w:rsidRPr="000538BF">
        <w:rPr>
          <w:rFonts w:ascii="ScalaSansPro-Regular" w:hAnsi="ScalaSansPro-Regular"/>
        </w:rPr>
        <w:t>§ 4</w:t>
      </w:r>
    </w:p>
    <w:p w:rsidR="001D4A3D" w:rsidRPr="000538BF" w:rsidRDefault="001D4A3D" w:rsidP="001D4A3D">
      <w:pPr>
        <w:pStyle w:val="Akapitzlist"/>
        <w:numPr>
          <w:ilvl w:val="0"/>
          <w:numId w:val="1"/>
        </w:numPr>
        <w:spacing w:after="0"/>
        <w:ind w:left="284" w:hanging="284"/>
        <w:jc w:val="both"/>
        <w:rPr>
          <w:rFonts w:ascii="ScalaSansPro-Regular" w:hAnsi="ScalaSansPro-Regular"/>
        </w:rPr>
      </w:pPr>
      <w:r w:rsidRPr="000538BF">
        <w:rPr>
          <w:rFonts w:ascii="ScalaSansPro-Regular" w:hAnsi="ScalaSansPro-Regular"/>
        </w:rPr>
        <w:t xml:space="preserve">Do potwierdzania efektów uczenia się na danym kierunku, poziomie i profilu kształcenia jest uprawniona jednostka posiadająca co najmniej pozytywną ocenę programową na tym kierunku, poziomie i profilu kształcenia, a w przypadku nieprzeprowadzenia oceny na tym kierunku studiów - jednostka posiadająca uprawnienie do nadawania stopnia naukowego doktora w zakresie obszaru kształcenia i dziedziny, do których jest przyporządkowany ten kierunek studiów. </w:t>
      </w:r>
    </w:p>
    <w:p w:rsidR="001D4A3D" w:rsidRPr="000538BF" w:rsidRDefault="001D4A3D" w:rsidP="001D4A3D">
      <w:pPr>
        <w:pStyle w:val="Akapitzlist"/>
        <w:numPr>
          <w:ilvl w:val="0"/>
          <w:numId w:val="1"/>
        </w:numPr>
        <w:ind w:left="284" w:hanging="284"/>
        <w:jc w:val="both"/>
        <w:rPr>
          <w:rFonts w:ascii="ScalaSansPro-Regular" w:hAnsi="ScalaSansPro-Regular"/>
        </w:rPr>
      </w:pPr>
      <w:r w:rsidRPr="000538BF">
        <w:rPr>
          <w:rFonts w:ascii="ScalaSansPro-Regular" w:hAnsi="ScalaSansPro-Regular"/>
        </w:rPr>
        <w:t>Efektów uczenia się nie potwierdza się na kierunkach, dla których właściwy minister określił w drodze rozporządzenia standardy kształcenia. W dniu wejścia w życie Regulaminu dotyczy to w szczególności kierunku architektura.</w:t>
      </w:r>
    </w:p>
    <w:p w:rsidR="001D4A3D" w:rsidRPr="000538BF" w:rsidRDefault="001D4A3D" w:rsidP="001D4A3D">
      <w:pPr>
        <w:pStyle w:val="Akapitzlist"/>
        <w:numPr>
          <w:ilvl w:val="0"/>
          <w:numId w:val="1"/>
        </w:numPr>
        <w:spacing w:after="0"/>
        <w:ind w:left="284" w:hanging="284"/>
        <w:jc w:val="both"/>
        <w:rPr>
          <w:rFonts w:ascii="ScalaSansPro-Regular" w:hAnsi="ScalaSansPro-Regular"/>
        </w:rPr>
      </w:pPr>
      <w:r w:rsidRPr="000538BF">
        <w:rPr>
          <w:rFonts w:ascii="ScalaSansPro-Regular" w:hAnsi="ScalaSansPro-Regular"/>
        </w:rPr>
        <w:t xml:space="preserve">Weryfikacja efektów uczenia się jest dokonywana w oparciu oraz w odniesieniu do efektów kształcenia określonych w programie kształcenia dla danego kierunku studiów, poziomu i profilu kształcenia. </w:t>
      </w:r>
    </w:p>
    <w:p w:rsidR="001D4A3D" w:rsidRPr="000538BF" w:rsidRDefault="000A35C3" w:rsidP="001D4A3D">
      <w:pPr>
        <w:pStyle w:val="Akapitzlist"/>
        <w:numPr>
          <w:ilvl w:val="0"/>
          <w:numId w:val="1"/>
        </w:numPr>
        <w:spacing w:after="0"/>
        <w:ind w:left="284" w:hanging="284"/>
        <w:jc w:val="both"/>
        <w:rPr>
          <w:rFonts w:ascii="ScalaSansPro-Regular" w:hAnsi="ScalaSansPro-Regular"/>
        </w:rPr>
      </w:pPr>
      <w:r w:rsidRPr="000538BF">
        <w:rPr>
          <w:rFonts w:ascii="ScalaSansPro-Regular" w:hAnsi="ScalaSansPro-Regular"/>
        </w:rPr>
        <w:t xml:space="preserve">Kierownik jednostki </w:t>
      </w:r>
      <w:r w:rsidR="001D4A3D" w:rsidRPr="000538BF">
        <w:rPr>
          <w:rFonts w:ascii="ScalaSansPro-Regular" w:hAnsi="ScalaSansPro-Regular"/>
        </w:rPr>
        <w:t>w porozumieniu z właściwą radą wydziału w terminie do końca roku kalendarzowego poprzedzającego dany rok akademicki przygotowuje listę efektów kształcenia, a także przedmiotów obejmujących dane efekty kształcenia, które w ramach danego kierunku i poziomu kształcenia prowadzonego przez daną jednostkę i objętego procesem potwierdzania efektów uczenia się mogą zostać poddane procesowi potwierdzania, jako efekty uczenia się.</w:t>
      </w:r>
    </w:p>
    <w:p w:rsidR="001D4A3D" w:rsidRPr="000538BF" w:rsidRDefault="001D4A3D" w:rsidP="001D4A3D">
      <w:pPr>
        <w:pStyle w:val="Akapitzlist"/>
        <w:numPr>
          <w:ilvl w:val="0"/>
          <w:numId w:val="1"/>
        </w:numPr>
        <w:spacing w:after="0"/>
        <w:ind w:left="284" w:hanging="284"/>
        <w:jc w:val="both"/>
        <w:rPr>
          <w:rFonts w:ascii="ScalaSansPro-Regular" w:hAnsi="ScalaSansPro-Regular"/>
        </w:rPr>
      </w:pPr>
      <w:r w:rsidRPr="000538BF">
        <w:rPr>
          <w:rFonts w:ascii="ScalaSansPro-Regular" w:hAnsi="ScalaSansPro-Regular"/>
        </w:rPr>
        <w:t>Lista, o której mowa w ust. 4 określa efekty kształcenia, których osiągnięcie jest niezbędne dla uzyskania zaliczenia danego przedmiotu, jak również liczbę punktów ECTS przyznawaną za zaliczenie tego przedmiotu.</w:t>
      </w:r>
    </w:p>
    <w:p w:rsidR="001D4A3D" w:rsidRPr="000538BF" w:rsidRDefault="001D4A3D" w:rsidP="001D4A3D">
      <w:pPr>
        <w:pStyle w:val="Akapitzlist"/>
        <w:numPr>
          <w:ilvl w:val="0"/>
          <w:numId w:val="1"/>
        </w:numPr>
        <w:spacing w:after="0"/>
        <w:ind w:left="284" w:hanging="284"/>
        <w:jc w:val="both"/>
        <w:rPr>
          <w:rFonts w:ascii="ScalaSansPro-Regular" w:hAnsi="ScalaSansPro-Regular"/>
        </w:rPr>
      </w:pPr>
      <w:r w:rsidRPr="000538BF">
        <w:rPr>
          <w:rFonts w:ascii="ScalaSansPro-Regular" w:hAnsi="ScalaSansPro-Regular"/>
        </w:rPr>
        <w:t>W terminie do końca roku kalendarzowego popr</w:t>
      </w:r>
      <w:r w:rsidR="000A35C3" w:rsidRPr="000538BF">
        <w:rPr>
          <w:rFonts w:ascii="ScalaSansPro-Regular" w:hAnsi="ScalaSansPro-Regular"/>
        </w:rPr>
        <w:t xml:space="preserve">zedzającego dany rok akademicki </w:t>
      </w:r>
      <w:r w:rsidRPr="000538BF">
        <w:rPr>
          <w:rFonts w:ascii="ScalaSansPro-Regular" w:hAnsi="ScalaSansPro-Regular"/>
        </w:rPr>
        <w:t>Akademia publikuje na stronie internetowej:</w:t>
      </w:r>
    </w:p>
    <w:p w:rsidR="001D4A3D" w:rsidRPr="000538BF" w:rsidRDefault="001D4A3D" w:rsidP="001D4A3D">
      <w:pPr>
        <w:pStyle w:val="Akapitzlist"/>
        <w:numPr>
          <w:ilvl w:val="0"/>
          <w:numId w:val="29"/>
        </w:numPr>
        <w:spacing w:after="0"/>
        <w:jc w:val="both"/>
        <w:rPr>
          <w:rFonts w:ascii="ScalaSansPro-Regular" w:hAnsi="ScalaSansPro-Regular"/>
        </w:rPr>
      </w:pPr>
      <w:r w:rsidRPr="000538BF">
        <w:rPr>
          <w:rFonts w:ascii="ScalaSansPro-Regular" w:hAnsi="ScalaSansPro-Regular"/>
        </w:rPr>
        <w:t>aktualną treść niniejszego Regulaminu,</w:t>
      </w:r>
    </w:p>
    <w:p w:rsidR="001D4A3D" w:rsidRPr="000538BF" w:rsidRDefault="001D4A3D" w:rsidP="001D4A3D">
      <w:pPr>
        <w:pStyle w:val="Akapitzlist"/>
        <w:numPr>
          <w:ilvl w:val="0"/>
          <w:numId w:val="29"/>
        </w:numPr>
        <w:spacing w:after="0"/>
        <w:jc w:val="both"/>
        <w:rPr>
          <w:rFonts w:ascii="ScalaSansPro-Regular" w:hAnsi="ScalaSansPro-Regular"/>
        </w:rPr>
      </w:pPr>
      <w:r w:rsidRPr="000538BF">
        <w:rPr>
          <w:rFonts w:ascii="ScalaSansPro-Regular" w:hAnsi="ScalaSansPro-Regular"/>
        </w:rPr>
        <w:t>wzór wniosku kandydata, wynikający z aktualnego załącznika do niniejszego Regulaminu wraz z informacją o niezbędnych załącznikach,</w:t>
      </w:r>
    </w:p>
    <w:p w:rsidR="001D4A3D" w:rsidRPr="000538BF" w:rsidRDefault="001D4A3D" w:rsidP="001D4A3D">
      <w:pPr>
        <w:pStyle w:val="Akapitzlist"/>
        <w:numPr>
          <w:ilvl w:val="0"/>
          <w:numId w:val="29"/>
        </w:numPr>
        <w:spacing w:after="0"/>
        <w:jc w:val="both"/>
        <w:rPr>
          <w:rFonts w:ascii="ScalaSansPro-Regular" w:hAnsi="ScalaSansPro-Regular"/>
        </w:rPr>
      </w:pPr>
      <w:r w:rsidRPr="000538BF">
        <w:rPr>
          <w:rFonts w:ascii="ScalaSansPro-Regular" w:hAnsi="ScalaSansPro-Regular"/>
        </w:rPr>
        <w:t>informację o sposobie ustalania wysokości opłaty za potwierdzenie efektów uczenia się,</w:t>
      </w:r>
    </w:p>
    <w:p w:rsidR="001D4A3D" w:rsidRPr="000538BF" w:rsidRDefault="001D4A3D" w:rsidP="001D4A3D">
      <w:pPr>
        <w:pStyle w:val="Akapitzlist"/>
        <w:numPr>
          <w:ilvl w:val="0"/>
          <w:numId w:val="29"/>
        </w:numPr>
        <w:spacing w:after="0"/>
        <w:jc w:val="both"/>
        <w:rPr>
          <w:rFonts w:ascii="ScalaSansPro-Regular" w:hAnsi="ScalaSansPro-Regular"/>
        </w:rPr>
      </w:pPr>
      <w:r w:rsidRPr="000538BF">
        <w:rPr>
          <w:rFonts w:ascii="ScalaSansPro-Regular" w:hAnsi="ScalaSansPro-Regular"/>
        </w:rPr>
        <w:t xml:space="preserve">wzór umowy o przeprowadzenie potwierdzenia efektów uczenia się, wynikającej z aktualnego załącznika do niniejszego Regulaminu. </w:t>
      </w:r>
    </w:p>
    <w:p w:rsidR="001D4A3D" w:rsidRPr="000538BF" w:rsidRDefault="001D4A3D" w:rsidP="001D4A3D">
      <w:pPr>
        <w:pStyle w:val="Akapitzlist"/>
        <w:numPr>
          <w:ilvl w:val="0"/>
          <w:numId w:val="1"/>
        </w:numPr>
        <w:spacing w:after="0"/>
        <w:ind w:left="284" w:hanging="284"/>
        <w:jc w:val="both"/>
        <w:rPr>
          <w:rFonts w:ascii="ScalaSansPro-Regular" w:hAnsi="ScalaSansPro-Regular"/>
        </w:rPr>
      </w:pPr>
      <w:r w:rsidRPr="000538BF">
        <w:rPr>
          <w:rFonts w:ascii="ScalaSansPro-Regular" w:hAnsi="ScalaSansPro-Regular"/>
        </w:rPr>
        <w:lastRenderedPageBreak/>
        <w:t>W terminie do końca roku kalendarzowego poprzedzającego dany rok akademicki kierownik jednostki upoważnionej do potwierdzania efektów uczenia się przekazuje do publikacji na stronie internetowej Akademii:</w:t>
      </w:r>
    </w:p>
    <w:p w:rsidR="001D4A3D" w:rsidRPr="000538BF" w:rsidRDefault="001D4A3D" w:rsidP="001D4A3D">
      <w:pPr>
        <w:pStyle w:val="Akapitzlist"/>
        <w:numPr>
          <w:ilvl w:val="0"/>
          <w:numId w:val="30"/>
        </w:numPr>
        <w:spacing w:after="0"/>
        <w:jc w:val="both"/>
        <w:rPr>
          <w:rFonts w:ascii="ScalaSansPro-Regular" w:hAnsi="ScalaSansPro-Regular"/>
        </w:rPr>
      </w:pPr>
      <w:r w:rsidRPr="000538BF">
        <w:rPr>
          <w:rFonts w:ascii="ScalaSansPro-Regular" w:hAnsi="ScalaSansPro-Regular"/>
        </w:rPr>
        <w:t>listy, o których mowa w § 4 ust. 4 dla każdego kierunku, poziomu i profilu kształcenia prowadzonych przez jednostkę,</w:t>
      </w:r>
    </w:p>
    <w:p w:rsidR="001D4A3D" w:rsidRPr="000538BF" w:rsidRDefault="001D4A3D" w:rsidP="001D4A3D">
      <w:pPr>
        <w:pStyle w:val="Akapitzlist"/>
        <w:numPr>
          <w:ilvl w:val="0"/>
          <w:numId w:val="30"/>
        </w:numPr>
        <w:spacing w:after="0"/>
        <w:jc w:val="both"/>
        <w:rPr>
          <w:rFonts w:ascii="ScalaSansPro-Regular" w:hAnsi="ScalaSansPro-Regular"/>
        </w:rPr>
      </w:pPr>
      <w:r w:rsidRPr="000538BF">
        <w:rPr>
          <w:rFonts w:ascii="ScalaSansPro-Regular" w:hAnsi="ScalaSansPro-Regular"/>
        </w:rPr>
        <w:t>zakres oraz sposób weryfikacji uzdolnień artystycznych niezbędnych do przyjęcia na studia, o których mowa w § 14 ust. 1 pkt 2),</w:t>
      </w:r>
    </w:p>
    <w:p w:rsidR="001D4A3D" w:rsidRPr="000538BF" w:rsidRDefault="001D4A3D" w:rsidP="001D4A3D">
      <w:pPr>
        <w:pStyle w:val="Akapitzlist"/>
        <w:numPr>
          <w:ilvl w:val="0"/>
          <w:numId w:val="30"/>
        </w:numPr>
        <w:spacing w:after="0"/>
        <w:jc w:val="both"/>
        <w:rPr>
          <w:rFonts w:ascii="ScalaSansPro-Regular" w:hAnsi="ScalaSansPro-Regular"/>
        </w:rPr>
      </w:pPr>
      <w:r w:rsidRPr="000538BF">
        <w:rPr>
          <w:rFonts w:ascii="ScalaSansPro-Regular" w:hAnsi="ScalaSansPro-Regular"/>
        </w:rPr>
        <w:t xml:space="preserve">limit osób, których przyjęcia na studia na danym kierunku, poziomie i profilu kształcenia jest możliwy w danym roku akademickim w ramach potwierdzania efektów uczenia się. </w:t>
      </w:r>
    </w:p>
    <w:p w:rsidR="001D4A3D" w:rsidRPr="000538BF" w:rsidRDefault="001D4A3D" w:rsidP="001D4A3D">
      <w:pPr>
        <w:spacing w:after="0"/>
        <w:rPr>
          <w:rFonts w:ascii="ScalaSansPro-Regular" w:hAnsi="ScalaSansPro-Regular"/>
        </w:rPr>
      </w:pPr>
    </w:p>
    <w:p w:rsidR="001D4A3D" w:rsidRPr="000538BF" w:rsidRDefault="001D4A3D" w:rsidP="001D4A3D">
      <w:pPr>
        <w:spacing w:after="0"/>
        <w:jc w:val="center"/>
        <w:rPr>
          <w:rFonts w:ascii="ScalaSansPro-Regular" w:hAnsi="ScalaSansPro-Regular"/>
        </w:rPr>
      </w:pPr>
    </w:p>
    <w:p w:rsidR="001D4A3D" w:rsidRPr="000538BF" w:rsidRDefault="001D4A3D" w:rsidP="001D4A3D">
      <w:pPr>
        <w:spacing w:after="0"/>
        <w:jc w:val="center"/>
        <w:rPr>
          <w:rFonts w:ascii="ScalaSansPro-Regular" w:hAnsi="ScalaSansPro-Regular"/>
        </w:rPr>
      </w:pPr>
      <w:r w:rsidRPr="000538BF">
        <w:rPr>
          <w:rFonts w:ascii="ScalaSansPro-Regular" w:hAnsi="ScalaSansPro-Regular"/>
        </w:rPr>
        <w:t>§ 5</w:t>
      </w:r>
    </w:p>
    <w:p w:rsidR="001D4A3D" w:rsidRPr="000538BF" w:rsidRDefault="001D4A3D" w:rsidP="001D4A3D">
      <w:pPr>
        <w:pStyle w:val="Akapitzlist"/>
        <w:numPr>
          <w:ilvl w:val="0"/>
          <w:numId w:val="2"/>
        </w:numPr>
        <w:spacing w:after="0"/>
        <w:ind w:left="284" w:hanging="284"/>
        <w:rPr>
          <w:rFonts w:ascii="ScalaSansPro-Regular" w:hAnsi="ScalaSansPro-Regular"/>
        </w:rPr>
      </w:pPr>
      <w:r w:rsidRPr="000538BF">
        <w:rPr>
          <w:rFonts w:ascii="ScalaSansPro-Regular" w:hAnsi="ScalaSansPro-Regular"/>
        </w:rPr>
        <w:t xml:space="preserve">Efekty uczenia się mogą zostać potwierdzone: </w:t>
      </w:r>
    </w:p>
    <w:p w:rsidR="001D4A3D" w:rsidRPr="000538BF" w:rsidRDefault="001D4A3D" w:rsidP="001D4A3D">
      <w:pPr>
        <w:pStyle w:val="Akapitzlist"/>
        <w:numPr>
          <w:ilvl w:val="0"/>
          <w:numId w:val="3"/>
        </w:numPr>
        <w:spacing w:after="0"/>
        <w:jc w:val="both"/>
        <w:rPr>
          <w:rFonts w:ascii="ScalaSansPro-Regular" w:hAnsi="ScalaSansPro-Regular"/>
        </w:rPr>
      </w:pPr>
      <w:r w:rsidRPr="000538BF">
        <w:rPr>
          <w:rFonts w:ascii="ScalaSansPro-Regular" w:hAnsi="ScalaSansPro-Regular"/>
        </w:rPr>
        <w:t>osobie posiadającej świadectwo dojrzałości i co najmniej pięć lat doświadczenia zawodowego – w przypadku ubiegania się o przyjęcie na studia pierwszego stopnia oraz jednolite studia magisterskie,</w:t>
      </w:r>
    </w:p>
    <w:p w:rsidR="001D4A3D" w:rsidRPr="000538BF" w:rsidRDefault="001D4A3D" w:rsidP="001D4A3D">
      <w:pPr>
        <w:pStyle w:val="Akapitzlist"/>
        <w:numPr>
          <w:ilvl w:val="0"/>
          <w:numId w:val="3"/>
        </w:numPr>
        <w:spacing w:after="0"/>
        <w:jc w:val="both"/>
        <w:rPr>
          <w:rFonts w:ascii="ScalaSansPro-Regular" w:hAnsi="ScalaSansPro-Regular"/>
        </w:rPr>
      </w:pPr>
      <w:r w:rsidRPr="000538BF">
        <w:rPr>
          <w:rFonts w:ascii="ScalaSansPro-Regular" w:hAnsi="ScalaSansPro-Regular"/>
        </w:rPr>
        <w:t xml:space="preserve">osobie posiadającej tytuł zawodowy licencjata lub inżyniera lub równorzędny i co najmniej trzy lata doświadczenia zawodowego zdobytego po ukończeniu studiów pierwszego stopnia – w przypadku ubiegania się o przyjęcie na studia drugiego stopnia, </w:t>
      </w:r>
    </w:p>
    <w:p w:rsidR="001D4A3D" w:rsidRPr="000538BF" w:rsidRDefault="001D4A3D" w:rsidP="001D4A3D">
      <w:pPr>
        <w:pStyle w:val="Akapitzlist"/>
        <w:numPr>
          <w:ilvl w:val="0"/>
          <w:numId w:val="3"/>
        </w:numPr>
        <w:spacing w:after="0"/>
        <w:jc w:val="both"/>
        <w:rPr>
          <w:rFonts w:ascii="ScalaSansPro-Regular" w:hAnsi="ScalaSansPro-Regular"/>
        </w:rPr>
      </w:pPr>
      <w:r w:rsidRPr="000538BF">
        <w:rPr>
          <w:rFonts w:ascii="ScalaSansPro-Regular" w:hAnsi="ScalaSansPro-Regular"/>
        </w:rPr>
        <w:t xml:space="preserve">osobie posiadającej tytuł zawodowy magistra lub magistra inżyniera lub równorzędny i co najmniej dwa lata doświadczenia zawodowego zdobytego po ukończeniu studiów drugiego stopnia albo jednolitych studiów magisterskich – w przypadku ubiegania się o przyjęcie na kolejny kierunek studiów pierwszego lub drugiego stopnia, jednolitych studiów magisterskich </w:t>
      </w:r>
    </w:p>
    <w:p w:rsidR="001D4A3D" w:rsidRPr="000538BF" w:rsidRDefault="001D4A3D" w:rsidP="001D4A3D">
      <w:pPr>
        <w:pStyle w:val="Akapitzlist"/>
        <w:numPr>
          <w:ilvl w:val="0"/>
          <w:numId w:val="2"/>
        </w:numPr>
        <w:spacing w:after="0"/>
        <w:ind w:left="284" w:hanging="284"/>
        <w:jc w:val="both"/>
        <w:rPr>
          <w:rFonts w:ascii="ScalaSansPro-Regular" w:hAnsi="ScalaSansPro-Regular"/>
          <w:color w:val="FF0000"/>
        </w:rPr>
      </w:pPr>
      <w:r w:rsidRPr="000538BF">
        <w:rPr>
          <w:rFonts w:ascii="ScalaSansPro-Regular" w:hAnsi="ScalaSansPro-Regular"/>
        </w:rPr>
        <w:t xml:space="preserve">W przypadku absolwentów kolegiów nauczycielskich, nauczycielskich kolegiów języków obcych oraz kolegiów pracowników służb społecznych przystępujących do potwierdzenia efektów uczenia się na studia pierwszego stopnia, nie jest wymagane spełnienie warunku pięcioletniego doświadczenia zawodowego. </w:t>
      </w:r>
    </w:p>
    <w:p w:rsidR="001D4A3D" w:rsidRPr="000538BF" w:rsidRDefault="001D4A3D" w:rsidP="001D4A3D">
      <w:pPr>
        <w:spacing w:after="0"/>
        <w:rPr>
          <w:rFonts w:ascii="ScalaSansPro-Regular" w:hAnsi="ScalaSansPro-Regular"/>
          <w:color w:val="FF0000"/>
        </w:rPr>
      </w:pPr>
    </w:p>
    <w:p w:rsidR="001D4A3D" w:rsidRPr="000538BF" w:rsidRDefault="001D4A3D" w:rsidP="001D4A3D">
      <w:pPr>
        <w:spacing w:after="0"/>
        <w:jc w:val="center"/>
        <w:rPr>
          <w:rFonts w:ascii="ScalaSansPro-Regular" w:hAnsi="ScalaSansPro-Regular"/>
        </w:rPr>
      </w:pPr>
      <w:r w:rsidRPr="000538BF">
        <w:rPr>
          <w:rFonts w:ascii="ScalaSansPro-Regular" w:hAnsi="ScalaSansPro-Regular"/>
        </w:rPr>
        <w:t>§ 6</w:t>
      </w:r>
    </w:p>
    <w:p w:rsidR="001D4A3D" w:rsidRPr="000538BF" w:rsidRDefault="001D4A3D" w:rsidP="001D4A3D">
      <w:pPr>
        <w:pStyle w:val="Akapitzlist"/>
        <w:numPr>
          <w:ilvl w:val="0"/>
          <w:numId w:val="10"/>
        </w:numPr>
        <w:spacing w:after="0"/>
        <w:ind w:left="284" w:hanging="284"/>
        <w:jc w:val="both"/>
        <w:rPr>
          <w:rFonts w:ascii="ScalaSansPro-Regular" w:hAnsi="ScalaSansPro-Regular"/>
        </w:rPr>
      </w:pPr>
      <w:r w:rsidRPr="000538BF">
        <w:rPr>
          <w:rFonts w:ascii="ScalaSansPro-Regular" w:hAnsi="ScalaSansPro-Regular"/>
        </w:rPr>
        <w:t>Akademia pobiera opłaty za wszczęcie procesu potwierdzania efektów uczenia się. Wysokość opłat określa odrębne zarządzenie Rektora, z zastrzeżeniem ust. 2.</w:t>
      </w:r>
    </w:p>
    <w:p w:rsidR="001D4A3D" w:rsidRPr="000538BF" w:rsidRDefault="001D4A3D" w:rsidP="001D4A3D">
      <w:pPr>
        <w:pStyle w:val="Akapitzlist"/>
        <w:numPr>
          <w:ilvl w:val="0"/>
          <w:numId w:val="10"/>
        </w:numPr>
        <w:spacing w:after="0"/>
        <w:ind w:left="284" w:hanging="284"/>
        <w:jc w:val="both"/>
        <w:rPr>
          <w:rFonts w:ascii="ScalaSansPro-Regular" w:hAnsi="ScalaSansPro-Regular"/>
        </w:rPr>
      </w:pPr>
      <w:r w:rsidRPr="000538BF">
        <w:rPr>
          <w:rFonts w:ascii="ScalaSansPro-Regular" w:hAnsi="ScalaSansPro-Regular"/>
        </w:rPr>
        <w:t>Wysokość opłat za przeprowadzenie potwierdzenia efektów uczenia się nie może przekroczyć kosztów świadczenia tej usługi o więcej niż 20%.</w:t>
      </w:r>
    </w:p>
    <w:p w:rsidR="001D4A3D" w:rsidRPr="000538BF" w:rsidRDefault="001D4A3D" w:rsidP="001D4A3D">
      <w:pPr>
        <w:pStyle w:val="Akapitzlist"/>
        <w:numPr>
          <w:ilvl w:val="0"/>
          <w:numId w:val="10"/>
        </w:numPr>
        <w:spacing w:after="0"/>
        <w:ind w:left="284" w:hanging="284"/>
        <w:jc w:val="both"/>
        <w:rPr>
          <w:rFonts w:ascii="ScalaSansPro-Regular" w:hAnsi="ScalaSansPro-Regular"/>
        </w:rPr>
      </w:pPr>
      <w:r w:rsidRPr="000538BF">
        <w:rPr>
          <w:rFonts w:ascii="ScalaSansPro-Regular" w:hAnsi="ScalaSansPro-Regular"/>
        </w:rPr>
        <w:t xml:space="preserve">Informację o wysokości opłaty, o której mowa w ust. 1, oraz wysokości kosztów jakie są ponoszone celem zorganizowania procesu potwierdzania efektów uczenia się publikuje się na stronie internetowej Akademii. </w:t>
      </w:r>
    </w:p>
    <w:p w:rsidR="001D4A3D" w:rsidRPr="000538BF" w:rsidRDefault="001D4A3D" w:rsidP="001D4A3D">
      <w:pPr>
        <w:pStyle w:val="Akapitzlist"/>
        <w:numPr>
          <w:ilvl w:val="0"/>
          <w:numId w:val="10"/>
        </w:numPr>
        <w:spacing w:after="0"/>
        <w:ind w:left="284" w:hanging="284"/>
        <w:jc w:val="both"/>
        <w:rPr>
          <w:rFonts w:ascii="ScalaSansPro-Regular" w:hAnsi="ScalaSansPro-Regular"/>
        </w:rPr>
      </w:pPr>
      <w:r w:rsidRPr="000538BF">
        <w:rPr>
          <w:rFonts w:ascii="ScalaSansPro-Regular" w:hAnsi="ScalaSansPro-Regular"/>
        </w:rPr>
        <w:t xml:space="preserve">Kandydat wnosi opłatę na rachunek bankowy Akademii przed przystąpieniem do procesu potwierdzania efektów uczenia się. Potwierdzenie opłaty dołączane jest do dokumentacji składanej przez kandydata o potwierdzenie efektów uczenia się zgodnie z treścią § 13. </w:t>
      </w:r>
    </w:p>
    <w:p w:rsidR="001D4A3D" w:rsidRPr="000538BF" w:rsidRDefault="001D4A3D" w:rsidP="001D4A3D">
      <w:pPr>
        <w:spacing w:after="0"/>
        <w:rPr>
          <w:rFonts w:ascii="ScalaSansPro-Regular" w:hAnsi="ScalaSansPro-Regular"/>
        </w:rPr>
      </w:pPr>
    </w:p>
    <w:p w:rsidR="001D4A3D" w:rsidRPr="000538BF" w:rsidRDefault="001D4A3D" w:rsidP="001D4A3D">
      <w:pPr>
        <w:spacing w:after="0"/>
        <w:jc w:val="center"/>
        <w:rPr>
          <w:rFonts w:ascii="ScalaSansPro-Regular" w:hAnsi="ScalaSansPro-Regular"/>
          <w:b/>
        </w:rPr>
      </w:pPr>
      <w:r w:rsidRPr="000538BF">
        <w:rPr>
          <w:rFonts w:ascii="ScalaSansPro-Regular" w:hAnsi="ScalaSansPro-Regular"/>
          <w:b/>
        </w:rPr>
        <w:t xml:space="preserve">Właściwe Organy </w:t>
      </w:r>
    </w:p>
    <w:p w:rsidR="001D4A3D" w:rsidRPr="000538BF" w:rsidRDefault="001D4A3D" w:rsidP="001D4A3D">
      <w:pPr>
        <w:spacing w:after="0"/>
        <w:jc w:val="center"/>
        <w:rPr>
          <w:rFonts w:ascii="ScalaSansPro-Regular" w:hAnsi="ScalaSansPro-Regular"/>
        </w:rPr>
      </w:pPr>
    </w:p>
    <w:p w:rsidR="001D4A3D" w:rsidRPr="000538BF" w:rsidRDefault="001D4A3D" w:rsidP="001D4A3D">
      <w:pPr>
        <w:spacing w:after="0"/>
        <w:jc w:val="center"/>
        <w:rPr>
          <w:rFonts w:ascii="ScalaSansPro-Regular" w:hAnsi="ScalaSansPro-Regular"/>
        </w:rPr>
      </w:pPr>
      <w:r w:rsidRPr="000538BF">
        <w:rPr>
          <w:rFonts w:ascii="ScalaSansPro-Regular" w:hAnsi="ScalaSansPro-Regular"/>
        </w:rPr>
        <w:t>§ 7</w:t>
      </w:r>
    </w:p>
    <w:p w:rsidR="001D4A3D" w:rsidRPr="000538BF" w:rsidRDefault="001D4A3D" w:rsidP="001D4A3D">
      <w:pPr>
        <w:pStyle w:val="Akapitzlist"/>
        <w:numPr>
          <w:ilvl w:val="0"/>
          <w:numId w:val="22"/>
        </w:numPr>
        <w:spacing w:after="0"/>
        <w:ind w:left="284" w:hanging="284"/>
        <w:jc w:val="both"/>
        <w:rPr>
          <w:rFonts w:ascii="ScalaSansPro-Regular" w:hAnsi="ScalaSansPro-Regular"/>
        </w:rPr>
      </w:pPr>
      <w:r w:rsidRPr="000538BF">
        <w:rPr>
          <w:rFonts w:ascii="ScalaSansPro-Regular" w:hAnsi="ScalaSansPro-Regular"/>
        </w:rPr>
        <w:t>Celem potwierdzania efektów uczenia się powołuje się:</w:t>
      </w:r>
    </w:p>
    <w:p w:rsidR="001D4A3D" w:rsidRPr="000538BF" w:rsidRDefault="001D4A3D" w:rsidP="001D4A3D">
      <w:pPr>
        <w:pStyle w:val="Akapitzlist"/>
        <w:numPr>
          <w:ilvl w:val="0"/>
          <w:numId w:val="23"/>
        </w:numPr>
        <w:spacing w:after="0"/>
        <w:jc w:val="both"/>
        <w:rPr>
          <w:rFonts w:ascii="ScalaSansPro-Regular" w:hAnsi="ScalaSansPro-Regular"/>
        </w:rPr>
      </w:pPr>
      <w:r w:rsidRPr="000538BF">
        <w:rPr>
          <w:rFonts w:ascii="ScalaSansPro-Regular" w:hAnsi="ScalaSansPro-Regular"/>
        </w:rPr>
        <w:lastRenderedPageBreak/>
        <w:t>Wydziałowe Komisje ds. potwierdzania efektów uczenia się (dalej „Komisje Wydziałowe”) - powoływane każdorazowo przez Rektora na wniosek kierownika jednostki,</w:t>
      </w:r>
    </w:p>
    <w:p w:rsidR="001D4A3D" w:rsidRPr="000538BF" w:rsidRDefault="001D4A3D" w:rsidP="001D4A3D">
      <w:pPr>
        <w:pStyle w:val="Akapitzlist"/>
        <w:numPr>
          <w:ilvl w:val="0"/>
          <w:numId w:val="23"/>
        </w:numPr>
        <w:spacing w:after="0"/>
        <w:jc w:val="both"/>
        <w:rPr>
          <w:rFonts w:ascii="ScalaSansPro-Regular" w:hAnsi="ScalaSansPro-Regular"/>
        </w:rPr>
      </w:pPr>
      <w:r w:rsidRPr="000538BF">
        <w:rPr>
          <w:rFonts w:ascii="ScalaSansPro-Regular" w:hAnsi="ScalaSansPro-Regular"/>
        </w:rPr>
        <w:t xml:space="preserve">Uczelnianą Komisję ds. potwierdzania efektów uczenia się (dalej „Komisja Uczelniana”) - powoływaną przez Rektora. </w:t>
      </w:r>
    </w:p>
    <w:p w:rsidR="001D4A3D" w:rsidRPr="000538BF" w:rsidRDefault="001D4A3D" w:rsidP="001D4A3D">
      <w:pPr>
        <w:pStyle w:val="Akapitzlist"/>
        <w:numPr>
          <w:ilvl w:val="0"/>
          <w:numId w:val="22"/>
        </w:numPr>
        <w:spacing w:after="0"/>
        <w:ind w:left="284" w:hanging="284"/>
        <w:jc w:val="both"/>
        <w:rPr>
          <w:rFonts w:ascii="ScalaSansPro-Regular" w:hAnsi="ScalaSansPro-Regular"/>
        </w:rPr>
      </w:pPr>
      <w:r w:rsidRPr="000538BF">
        <w:rPr>
          <w:rFonts w:ascii="ScalaSansPro-Regular" w:hAnsi="ScalaSansPro-Regular"/>
        </w:rPr>
        <w:t>Komisje Wydziałowe powoływane są corocznie w każdej jednostce uprawnionej do potwierdzania efektów uczenia się, w przypadku złożenia w terminie choćby jednego wniosku o potwierdzenie efektów uczenia się w ramach kierunku prowadzonego przez daną jednostkę, a ich kadencja trwa do czasu powołania nowej komisji.</w:t>
      </w:r>
    </w:p>
    <w:p w:rsidR="001D4A3D" w:rsidRPr="000538BF" w:rsidRDefault="001D4A3D" w:rsidP="001D4A3D">
      <w:pPr>
        <w:pStyle w:val="Akapitzlist"/>
        <w:numPr>
          <w:ilvl w:val="0"/>
          <w:numId w:val="22"/>
        </w:numPr>
        <w:spacing w:after="0"/>
        <w:ind w:left="284" w:hanging="284"/>
        <w:jc w:val="both"/>
        <w:rPr>
          <w:rFonts w:ascii="ScalaSansPro-Regular" w:hAnsi="ScalaSansPro-Regular"/>
        </w:rPr>
      </w:pPr>
      <w:r w:rsidRPr="000538BF">
        <w:rPr>
          <w:rFonts w:ascii="ScalaSansPro-Regular" w:hAnsi="ScalaSansPro-Regular"/>
        </w:rPr>
        <w:t>W każdej jednostce powoływana jest jedna Komisja Wydziałowa niezależnie od liczby kierunków, poziomów i profili kształcenia, w ramach których możliwe jest potwierdzenie efektów uczenia się.</w:t>
      </w:r>
    </w:p>
    <w:p w:rsidR="001D4A3D" w:rsidRPr="000538BF" w:rsidRDefault="001D4A3D" w:rsidP="001D4A3D">
      <w:pPr>
        <w:pStyle w:val="Akapitzlist"/>
        <w:numPr>
          <w:ilvl w:val="0"/>
          <w:numId w:val="22"/>
        </w:numPr>
        <w:spacing w:after="0"/>
        <w:ind w:left="284" w:hanging="284"/>
        <w:jc w:val="both"/>
        <w:rPr>
          <w:rFonts w:ascii="ScalaSansPro-Regular" w:hAnsi="ScalaSansPro-Regular"/>
        </w:rPr>
      </w:pPr>
      <w:r w:rsidRPr="000538BF">
        <w:rPr>
          <w:rFonts w:ascii="ScalaSansPro-Regular" w:hAnsi="ScalaSansPro-Regular"/>
        </w:rPr>
        <w:t>Komisja Uczelniana powoływana jest na okres kadencji organów Akademii.</w:t>
      </w:r>
    </w:p>
    <w:p w:rsidR="001D4A3D" w:rsidRPr="000538BF" w:rsidRDefault="001D4A3D" w:rsidP="001D4A3D">
      <w:pPr>
        <w:pStyle w:val="Akapitzlist"/>
        <w:numPr>
          <w:ilvl w:val="0"/>
          <w:numId w:val="22"/>
        </w:numPr>
        <w:spacing w:after="0"/>
        <w:ind w:left="284" w:hanging="284"/>
        <w:jc w:val="both"/>
        <w:rPr>
          <w:rFonts w:ascii="ScalaSansPro-Regular" w:hAnsi="ScalaSansPro-Regular"/>
        </w:rPr>
      </w:pPr>
      <w:r w:rsidRPr="000538BF">
        <w:rPr>
          <w:rFonts w:ascii="ScalaSansPro-Regular" w:hAnsi="ScalaSansPro-Regular"/>
        </w:rPr>
        <w:t>W przypadku wygaśnięcia mandatu członka komisji (z uwagi na śmierć, rezygnację, odwołanie przez Rektora lub ustanie stosunku pracy) następuje uzupełnienie składu komisji stosownie do trybu jej powołania na czas pozostały do końca jej kadencji.</w:t>
      </w:r>
    </w:p>
    <w:p w:rsidR="001D4A3D" w:rsidRPr="000538BF" w:rsidRDefault="001D4A3D" w:rsidP="001D4A3D">
      <w:pPr>
        <w:pStyle w:val="Akapitzlist"/>
        <w:numPr>
          <w:ilvl w:val="0"/>
          <w:numId w:val="22"/>
        </w:numPr>
        <w:spacing w:after="0"/>
        <w:ind w:left="284" w:hanging="284"/>
        <w:jc w:val="both"/>
        <w:rPr>
          <w:rFonts w:ascii="ScalaSansPro-Regular" w:hAnsi="ScalaSansPro-Regular"/>
        </w:rPr>
      </w:pPr>
      <w:r w:rsidRPr="000538BF">
        <w:rPr>
          <w:rFonts w:ascii="ScalaSansPro-Regular" w:hAnsi="ScalaSansPro-Regular"/>
        </w:rPr>
        <w:t>Komisje sporządzają protokoły swoich posiedzeń. Protokół jest podpisywany przez przewodniczącego.</w:t>
      </w:r>
    </w:p>
    <w:p w:rsidR="001D4A3D" w:rsidRPr="000538BF" w:rsidRDefault="001D4A3D" w:rsidP="001D4A3D">
      <w:pPr>
        <w:spacing w:after="0"/>
        <w:jc w:val="center"/>
        <w:rPr>
          <w:rFonts w:ascii="ScalaSansPro-Regular" w:hAnsi="ScalaSansPro-Regular"/>
        </w:rPr>
      </w:pPr>
    </w:p>
    <w:p w:rsidR="001D4A3D" w:rsidRPr="000538BF" w:rsidRDefault="001D4A3D" w:rsidP="001D4A3D">
      <w:pPr>
        <w:spacing w:after="0"/>
        <w:jc w:val="center"/>
        <w:rPr>
          <w:rFonts w:ascii="ScalaSansPro-Regular" w:hAnsi="ScalaSansPro-Regular"/>
        </w:rPr>
      </w:pPr>
      <w:r w:rsidRPr="000538BF">
        <w:rPr>
          <w:rFonts w:ascii="ScalaSansPro-Regular" w:hAnsi="ScalaSansPro-Regular"/>
        </w:rPr>
        <w:t>§ 8</w:t>
      </w:r>
    </w:p>
    <w:p w:rsidR="001D4A3D" w:rsidRPr="000538BF" w:rsidRDefault="001D4A3D" w:rsidP="001D4A3D">
      <w:pPr>
        <w:pStyle w:val="Akapitzlist"/>
        <w:numPr>
          <w:ilvl w:val="0"/>
          <w:numId w:val="11"/>
        </w:numPr>
        <w:spacing w:after="0"/>
        <w:ind w:left="284" w:hanging="284"/>
        <w:jc w:val="both"/>
        <w:rPr>
          <w:rFonts w:ascii="ScalaSansPro-Regular" w:hAnsi="ScalaSansPro-Regular"/>
        </w:rPr>
      </w:pPr>
      <w:r w:rsidRPr="000538BF">
        <w:rPr>
          <w:rFonts w:ascii="ScalaSansPro-Regular" w:hAnsi="ScalaSansPro-Regular"/>
        </w:rPr>
        <w:t xml:space="preserve">W skład Komisji Wydziałowej powołuje się: </w:t>
      </w:r>
    </w:p>
    <w:p w:rsidR="001D4A3D" w:rsidRPr="000538BF" w:rsidRDefault="001D4A3D" w:rsidP="001D4A3D">
      <w:pPr>
        <w:pStyle w:val="Akapitzlist"/>
        <w:numPr>
          <w:ilvl w:val="0"/>
          <w:numId w:val="12"/>
        </w:numPr>
        <w:spacing w:after="0"/>
        <w:ind w:left="567" w:hanging="283"/>
        <w:jc w:val="both"/>
        <w:rPr>
          <w:rFonts w:ascii="ScalaSansPro-Regular" w:hAnsi="ScalaSansPro-Regular"/>
        </w:rPr>
      </w:pPr>
      <w:r w:rsidRPr="000538BF">
        <w:rPr>
          <w:rFonts w:ascii="ScalaSansPro-Regular" w:hAnsi="ScalaSansPro-Regular"/>
        </w:rPr>
        <w:t>w charakterze Przewodniczącego Komisji Wydział</w:t>
      </w:r>
      <w:r w:rsidR="0049541D" w:rsidRPr="000538BF">
        <w:rPr>
          <w:rFonts w:ascii="ScalaSansPro-Regular" w:hAnsi="ScalaSansPro-Regular"/>
        </w:rPr>
        <w:t xml:space="preserve">owej – </w:t>
      </w:r>
      <w:r w:rsidRPr="000538BF">
        <w:rPr>
          <w:rFonts w:ascii="ScalaSansPro-Regular" w:hAnsi="ScalaSansPro-Regular"/>
        </w:rPr>
        <w:t>Dziekana</w:t>
      </w:r>
      <w:r w:rsidR="0049541D" w:rsidRPr="000538BF">
        <w:rPr>
          <w:rFonts w:ascii="ScalaSansPro-Regular" w:hAnsi="ScalaSansPro-Regular"/>
          <w:color w:val="FF0000"/>
        </w:rPr>
        <w:t xml:space="preserve"> </w:t>
      </w:r>
      <w:r w:rsidRPr="000538BF">
        <w:rPr>
          <w:rFonts w:ascii="ScalaSansPro-Regular" w:hAnsi="ScalaSansPro-Regular"/>
        </w:rPr>
        <w:t>na danym wydziale lub innego nauczyciela akademickiego posiadającego co najmniej stopień doktora</w:t>
      </w:r>
      <w:r w:rsidR="0049541D" w:rsidRPr="000538BF">
        <w:rPr>
          <w:rFonts w:ascii="ScalaSansPro-Regular" w:hAnsi="ScalaSansPro-Regular"/>
        </w:rPr>
        <w:t xml:space="preserve"> habilitowanego</w:t>
      </w:r>
      <w:r w:rsidRPr="000538BF">
        <w:rPr>
          <w:rFonts w:ascii="ScalaSansPro-Regular" w:hAnsi="ScalaSansPro-Regular"/>
        </w:rPr>
        <w:t xml:space="preserve"> wskazanego przez Rektora</w:t>
      </w:r>
    </w:p>
    <w:p w:rsidR="001D4A3D" w:rsidRPr="000538BF" w:rsidRDefault="001D4A3D" w:rsidP="001D4A3D">
      <w:pPr>
        <w:pStyle w:val="Akapitzlist"/>
        <w:numPr>
          <w:ilvl w:val="0"/>
          <w:numId w:val="12"/>
        </w:numPr>
        <w:spacing w:after="0"/>
        <w:ind w:left="567" w:hanging="283"/>
        <w:jc w:val="both"/>
        <w:rPr>
          <w:rFonts w:ascii="ScalaSansPro-Regular" w:hAnsi="ScalaSansPro-Regular"/>
        </w:rPr>
      </w:pPr>
      <w:r w:rsidRPr="000538BF">
        <w:rPr>
          <w:rFonts w:ascii="ScalaSansPro-Regular" w:hAnsi="ScalaSansPro-Regular"/>
        </w:rPr>
        <w:t xml:space="preserve"> nauczycieli akademickich reprezentujących obszar wiedzy i dyscypliny naukowe, w szczególności prowadzących przedmiot obejmujący efekty kształcenia odpowiadające efektom uczenia się, które mogą podlegać potwierdzeniu w ramach kierunków prowadzonych przez daną jednostkę,</w:t>
      </w:r>
    </w:p>
    <w:p w:rsidR="001D4A3D" w:rsidRPr="000538BF" w:rsidRDefault="001D4A3D" w:rsidP="001D4A3D">
      <w:pPr>
        <w:pStyle w:val="Akapitzlist"/>
        <w:numPr>
          <w:ilvl w:val="0"/>
          <w:numId w:val="12"/>
        </w:numPr>
        <w:spacing w:after="0"/>
        <w:ind w:left="567" w:hanging="283"/>
        <w:jc w:val="both"/>
        <w:rPr>
          <w:rFonts w:ascii="ScalaSansPro-Regular" w:hAnsi="ScalaSansPro-Regular"/>
        </w:rPr>
      </w:pPr>
      <w:r w:rsidRPr="000538BF">
        <w:rPr>
          <w:rFonts w:ascii="ScalaSansPro-Regular" w:hAnsi="ScalaSansPro-Regular"/>
        </w:rPr>
        <w:t xml:space="preserve">nauczycieli akademickich reprezentujących obszar wiedzy i dyscypliny naukowe, o których mowa w § 14 ust. 4, podlegające weryfikacji niezależnie od wybranych przez kandydatów efektów uczenia się. </w:t>
      </w:r>
    </w:p>
    <w:p w:rsidR="001D4A3D" w:rsidRPr="000538BF" w:rsidRDefault="001D4A3D" w:rsidP="001D4A3D">
      <w:pPr>
        <w:pStyle w:val="Akapitzlist"/>
        <w:numPr>
          <w:ilvl w:val="0"/>
          <w:numId w:val="11"/>
        </w:numPr>
        <w:spacing w:after="0"/>
        <w:ind w:left="284" w:hanging="284"/>
        <w:jc w:val="both"/>
        <w:rPr>
          <w:rFonts w:ascii="ScalaSansPro-Regular" w:hAnsi="ScalaSansPro-Regular"/>
        </w:rPr>
      </w:pPr>
      <w:r w:rsidRPr="000538BF">
        <w:rPr>
          <w:rFonts w:ascii="ScalaSansPro-Regular" w:hAnsi="ScalaSansPro-Regular"/>
        </w:rPr>
        <w:t xml:space="preserve">W skład Komisji Wydziałowych powinni wejść – stosownie do złożonych przez kandydatów wniosków - nauczyciele akademiccy w liczbie zapewniającej, ze względu na ich kwalifikacje do prowadzenia określonych przedmiotów, możliwość potwierdzenia każdego z efektów uczenia się wskazanego we wnioskach kandydatów spośród wskazanych na liście, o której mowa w § 4 ust. 4. W każdym razie Komisja Wydziałowa powinna liczyć nie mniej niż 6 osób. </w:t>
      </w:r>
    </w:p>
    <w:p w:rsidR="001D4A3D" w:rsidRPr="000538BF" w:rsidRDefault="001D4A3D" w:rsidP="001D4A3D">
      <w:pPr>
        <w:pStyle w:val="Akapitzlist"/>
        <w:numPr>
          <w:ilvl w:val="0"/>
          <w:numId w:val="11"/>
        </w:numPr>
        <w:spacing w:after="0"/>
        <w:ind w:left="284" w:hanging="284"/>
        <w:jc w:val="both"/>
        <w:rPr>
          <w:rFonts w:ascii="ScalaSansPro-Regular" w:hAnsi="ScalaSansPro-Regular"/>
        </w:rPr>
      </w:pPr>
      <w:r w:rsidRPr="000538BF">
        <w:rPr>
          <w:rFonts w:ascii="ScalaSansPro-Regular" w:hAnsi="ScalaSansPro-Regular"/>
        </w:rPr>
        <w:t xml:space="preserve"> Ten sam nauczyciel akademicki może być członkiem więcej niż jednej Komisji Wydziałowej. </w:t>
      </w:r>
    </w:p>
    <w:p w:rsidR="001D4A3D" w:rsidRPr="000538BF" w:rsidRDefault="001D4A3D" w:rsidP="001D4A3D">
      <w:pPr>
        <w:spacing w:after="0"/>
        <w:rPr>
          <w:rFonts w:ascii="ScalaSansPro-Regular" w:hAnsi="ScalaSansPro-Regular"/>
        </w:rPr>
      </w:pPr>
    </w:p>
    <w:p w:rsidR="001D4A3D" w:rsidRPr="000538BF" w:rsidRDefault="001D4A3D" w:rsidP="001D4A3D">
      <w:pPr>
        <w:spacing w:after="0"/>
        <w:jc w:val="center"/>
        <w:rPr>
          <w:rFonts w:ascii="ScalaSansPro-Regular" w:hAnsi="ScalaSansPro-Regular"/>
        </w:rPr>
      </w:pPr>
      <w:r w:rsidRPr="000538BF">
        <w:rPr>
          <w:rFonts w:ascii="ScalaSansPro-Regular" w:hAnsi="ScalaSansPro-Regular"/>
        </w:rPr>
        <w:t>§ 9</w:t>
      </w:r>
    </w:p>
    <w:p w:rsidR="001D4A3D" w:rsidRPr="000538BF" w:rsidRDefault="001D4A3D" w:rsidP="001D4A3D">
      <w:pPr>
        <w:spacing w:after="0"/>
        <w:jc w:val="both"/>
        <w:rPr>
          <w:rFonts w:ascii="ScalaSansPro-Regular" w:hAnsi="ScalaSansPro-Regular"/>
        </w:rPr>
      </w:pPr>
      <w:r w:rsidRPr="000538BF">
        <w:rPr>
          <w:rFonts w:ascii="ScalaSansPro-Regular" w:hAnsi="ScalaSansPro-Regular"/>
        </w:rPr>
        <w:t xml:space="preserve">Do zadań Komisji Wydziałowej należy wykonywanie wszystkich czynności w toku procesu potwierdzania efektów uczenia się nie zastrzeżonych dla innego organu, a w szczególności: </w:t>
      </w:r>
    </w:p>
    <w:p w:rsidR="001D4A3D" w:rsidRPr="000538BF" w:rsidRDefault="001D4A3D" w:rsidP="001D4A3D">
      <w:pPr>
        <w:pStyle w:val="Akapitzlist"/>
        <w:numPr>
          <w:ilvl w:val="0"/>
          <w:numId w:val="13"/>
        </w:numPr>
        <w:spacing w:after="0"/>
        <w:ind w:left="567" w:hanging="283"/>
        <w:jc w:val="both"/>
        <w:rPr>
          <w:rFonts w:ascii="ScalaSansPro-Regular" w:hAnsi="ScalaSansPro-Regular"/>
        </w:rPr>
      </w:pPr>
      <w:r w:rsidRPr="000538BF">
        <w:rPr>
          <w:rFonts w:ascii="ScalaSansPro-Regular" w:hAnsi="ScalaSansPro-Regular"/>
        </w:rPr>
        <w:t>formalna weryfikacja wniosku kandydata,</w:t>
      </w:r>
    </w:p>
    <w:p w:rsidR="001D4A3D" w:rsidRPr="000538BF" w:rsidRDefault="001D4A3D" w:rsidP="001D4A3D">
      <w:pPr>
        <w:pStyle w:val="Akapitzlist"/>
        <w:numPr>
          <w:ilvl w:val="0"/>
          <w:numId w:val="13"/>
        </w:numPr>
        <w:spacing w:after="0"/>
        <w:ind w:left="567" w:hanging="283"/>
        <w:jc w:val="both"/>
        <w:rPr>
          <w:rFonts w:ascii="ScalaSansPro-Regular" w:hAnsi="ScalaSansPro-Regular"/>
        </w:rPr>
      </w:pPr>
      <w:r w:rsidRPr="000538BF">
        <w:rPr>
          <w:rFonts w:ascii="ScalaSansPro-Regular" w:hAnsi="ScalaSansPro-Regular"/>
        </w:rPr>
        <w:t xml:space="preserve">ustalenie szczegółowego terminarza procesu potwierdzania efektów uczenia się, </w:t>
      </w:r>
    </w:p>
    <w:p w:rsidR="001D4A3D" w:rsidRPr="000538BF" w:rsidRDefault="001D4A3D" w:rsidP="001D4A3D">
      <w:pPr>
        <w:pStyle w:val="Akapitzlist"/>
        <w:numPr>
          <w:ilvl w:val="0"/>
          <w:numId w:val="13"/>
        </w:numPr>
        <w:spacing w:after="0"/>
        <w:ind w:left="567" w:hanging="283"/>
        <w:jc w:val="both"/>
        <w:rPr>
          <w:rFonts w:ascii="ScalaSansPro-Regular" w:hAnsi="ScalaSansPro-Regular"/>
        </w:rPr>
      </w:pPr>
      <w:r w:rsidRPr="000538BF">
        <w:rPr>
          <w:rFonts w:ascii="ScalaSansPro-Regular" w:hAnsi="ScalaSansPro-Regular"/>
        </w:rPr>
        <w:t>przeprowadzenie weryfikacji zadeklarowanych przez kandydata efektów uczenia się,</w:t>
      </w:r>
    </w:p>
    <w:p w:rsidR="001D4A3D" w:rsidRPr="000538BF" w:rsidRDefault="001D4A3D" w:rsidP="001D4A3D">
      <w:pPr>
        <w:pStyle w:val="Akapitzlist"/>
        <w:numPr>
          <w:ilvl w:val="0"/>
          <w:numId w:val="13"/>
        </w:numPr>
        <w:spacing w:after="0"/>
        <w:ind w:left="567" w:hanging="283"/>
        <w:jc w:val="both"/>
        <w:rPr>
          <w:rFonts w:ascii="ScalaSansPro-Regular" w:hAnsi="ScalaSansPro-Regular"/>
        </w:rPr>
      </w:pPr>
      <w:r w:rsidRPr="000538BF">
        <w:rPr>
          <w:rFonts w:ascii="ScalaSansPro-Regular" w:hAnsi="ScalaSansPro-Regular"/>
        </w:rPr>
        <w:t>przeprowadzenie weryfikacji pozostałych umiejętności niezbędnych do przyjęcia na studia,</w:t>
      </w:r>
    </w:p>
    <w:p w:rsidR="001D4A3D" w:rsidRPr="000538BF" w:rsidRDefault="001D4A3D" w:rsidP="001D4A3D">
      <w:pPr>
        <w:pStyle w:val="Akapitzlist"/>
        <w:numPr>
          <w:ilvl w:val="0"/>
          <w:numId w:val="13"/>
        </w:numPr>
        <w:spacing w:after="0"/>
        <w:ind w:left="567" w:hanging="283"/>
        <w:jc w:val="both"/>
        <w:rPr>
          <w:rFonts w:ascii="ScalaSansPro-Regular" w:hAnsi="ScalaSansPro-Regular"/>
        </w:rPr>
      </w:pPr>
      <w:r w:rsidRPr="000538BF">
        <w:rPr>
          <w:rFonts w:ascii="ScalaSansPro-Regular" w:hAnsi="ScalaSansPro-Regular"/>
        </w:rPr>
        <w:t>wydanie decyzji w przedmiocie potwierdzenia efektów uczenia się, o której mowa w § 15.</w:t>
      </w:r>
    </w:p>
    <w:p w:rsidR="001D4A3D" w:rsidRPr="000538BF" w:rsidRDefault="001D4A3D" w:rsidP="001D4A3D">
      <w:pPr>
        <w:spacing w:after="0"/>
        <w:rPr>
          <w:rFonts w:ascii="ScalaSansPro-Regular" w:hAnsi="ScalaSansPro-Regular"/>
        </w:rPr>
      </w:pPr>
    </w:p>
    <w:p w:rsidR="001D4A3D" w:rsidRPr="000538BF" w:rsidRDefault="001D4A3D" w:rsidP="001D4A3D">
      <w:pPr>
        <w:spacing w:after="0"/>
        <w:jc w:val="center"/>
        <w:rPr>
          <w:rFonts w:ascii="ScalaSansPro-Regular" w:hAnsi="ScalaSansPro-Regular"/>
        </w:rPr>
      </w:pPr>
      <w:r w:rsidRPr="000538BF">
        <w:rPr>
          <w:rFonts w:ascii="ScalaSansPro-Regular" w:hAnsi="ScalaSansPro-Regular"/>
        </w:rPr>
        <w:lastRenderedPageBreak/>
        <w:t>§ 10</w:t>
      </w:r>
    </w:p>
    <w:p w:rsidR="001D4A3D" w:rsidRPr="000538BF" w:rsidRDefault="001D4A3D" w:rsidP="001D4A3D">
      <w:pPr>
        <w:pStyle w:val="Akapitzlist"/>
        <w:numPr>
          <w:ilvl w:val="0"/>
          <w:numId w:val="14"/>
        </w:numPr>
        <w:spacing w:after="0"/>
        <w:ind w:left="284" w:hanging="284"/>
        <w:jc w:val="both"/>
        <w:rPr>
          <w:rFonts w:ascii="ScalaSansPro-Regular" w:hAnsi="ScalaSansPro-Regular"/>
        </w:rPr>
      </w:pPr>
      <w:r w:rsidRPr="000538BF">
        <w:rPr>
          <w:rFonts w:ascii="ScalaSansPro-Regular" w:hAnsi="ScalaSansPro-Regular"/>
        </w:rPr>
        <w:t xml:space="preserve">W skład Komisji Uczelnianej wchodzą: </w:t>
      </w:r>
    </w:p>
    <w:p w:rsidR="001D4A3D" w:rsidRPr="000538BF" w:rsidRDefault="001D4A3D" w:rsidP="001D4A3D">
      <w:pPr>
        <w:pStyle w:val="Akapitzlist"/>
        <w:numPr>
          <w:ilvl w:val="0"/>
          <w:numId w:val="15"/>
        </w:numPr>
        <w:spacing w:after="0"/>
        <w:jc w:val="both"/>
        <w:rPr>
          <w:rFonts w:ascii="ScalaSansPro-Regular" w:hAnsi="ScalaSansPro-Regular"/>
        </w:rPr>
      </w:pPr>
      <w:r w:rsidRPr="000538BF">
        <w:rPr>
          <w:rFonts w:ascii="ScalaSansPro-Regular" w:hAnsi="ScalaSansPro-Regular"/>
        </w:rPr>
        <w:t>w charakterze Przewodniczącego Komisji Uczelnianej - Rektor Akademii,</w:t>
      </w:r>
    </w:p>
    <w:p w:rsidR="001D4A3D" w:rsidRPr="000538BF" w:rsidRDefault="001D4A3D" w:rsidP="001D4A3D">
      <w:pPr>
        <w:pStyle w:val="Akapitzlist"/>
        <w:numPr>
          <w:ilvl w:val="0"/>
          <w:numId w:val="15"/>
        </w:numPr>
        <w:spacing w:after="0"/>
        <w:jc w:val="both"/>
        <w:rPr>
          <w:rFonts w:ascii="ScalaSansPro-Regular" w:hAnsi="ScalaSansPro-Regular"/>
        </w:rPr>
      </w:pPr>
      <w:r w:rsidRPr="000538BF">
        <w:rPr>
          <w:rFonts w:ascii="ScalaSansPro-Regular" w:hAnsi="ScalaSansPro-Regular"/>
        </w:rPr>
        <w:t>w cha</w:t>
      </w:r>
      <w:r w:rsidR="0088130B" w:rsidRPr="000538BF">
        <w:rPr>
          <w:rFonts w:ascii="ScalaSansPro-Regular" w:hAnsi="ScalaSansPro-Regular"/>
        </w:rPr>
        <w:t xml:space="preserve">rakterze pozostałych członków - </w:t>
      </w:r>
      <w:r w:rsidRPr="000538BF">
        <w:rPr>
          <w:rFonts w:ascii="ScalaSansPro-Regular" w:hAnsi="ScalaSansPro-Regular"/>
        </w:rPr>
        <w:t>co najmniej 2 nauczycieli akademickich w szczególności prowadzących przedmiot obejmujący efekty kształcenia odpowiadające efektom uczenia się, które mogą podlegać potwierdzeniu w ramach kierunków prowadzonych przez daną jednostkę.</w:t>
      </w:r>
    </w:p>
    <w:p w:rsidR="001D4A3D" w:rsidRPr="000538BF" w:rsidRDefault="001D4A3D" w:rsidP="001D4A3D">
      <w:pPr>
        <w:pStyle w:val="Akapitzlist"/>
        <w:numPr>
          <w:ilvl w:val="0"/>
          <w:numId w:val="14"/>
        </w:numPr>
        <w:spacing w:after="0"/>
        <w:ind w:left="284" w:hanging="284"/>
        <w:jc w:val="both"/>
        <w:rPr>
          <w:rFonts w:ascii="ScalaSansPro-Regular" w:hAnsi="ScalaSansPro-Regular"/>
        </w:rPr>
      </w:pPr>
      <w:r w:rsidRPr="000538BF">
        <w:rPr>
          <w:rFonts w:ascii="ScalaSansPro-Regular" w:hAnsi="ScalaSansPro-Regular"/>
        </w:rPr>
        <w:t>Nie można łączyć obowiązków członka Komisji Wydziałowej i Komisji Uczelnianej.</w:t>
      </w:r>
    </w:p>
    <w:p w:rsidR="001D4A3D" w:rsidRPr="000538BF" w:rsidRDefault="001D4A3D" w:rsidP="001D4A3D">
      <w:pPr>
        <w:spacing w:after="0"/>
        <w:rPr>
          <w:rFonts w:ascii="ScalaSansPro-Regular" w:hAnsi="ScalaSansPro-Regular"/>
        </w:rPr>
      </w:pPr>
    </w:p>
    <w:p w:rsidR="001D4A3D" w:rsidRPr="000538BF" w:rsidRDefault="001D4A3D" w:rsidP="001D4A3D">
      <w:pPr>
        <w:spacing w:after="0"/>
        <w:jc w:val="center"/>
        <w:rPr>
          <w:rFonts w:ascii="ScalaSansPro-Regular" w:hAnsi="ScalaSansPro-Regular"/>
        </w:rPr>
      </w:pPr>
      <w:r w:rsidRPr="000538BF">
        <w:rPr>
          <w:rFonts w:ascii="ScalaSansPro-Regular" w:hAnsi="ScalaSansPro-Regular"/>
        </w:rPr>
        <w:t>§ 11</w:t>
      </w:r>
    </w:p>
    <w:p w:rsidR="001D4A3D" w:rsidRPr="000538BF" w:rsidRDefault="001D4A3D" w:rsidP="001D4A3D">
      <w:pPr>
        <w:spacing w:after="0"/>
        <w:jc w:val="both"/>
        <w:rPr>
          <w:rFonts w:ascii="ScalaSansPro-Regular" w:hAnsi="ScalaSansPro-Regular"/>
        </w:rPr>
      </w:pPr>
      <w:r w:rsidRPr="000538BF">
        <w:rPr>
          <w:rFonts w:ascii="ScalaSansPro-Regular" w:hAnsi="ScalaSansPro-Regular"/>
        </w:rPr>
        <w:t xml:space="preserve">Do zadań Komisji Uczelnianej należą: </w:t>
      </w:r>
    </w:p>
    <w:p w:rsidR="001D4A3D" w:rsidRPr="000538BF" w:rsidRDefault="0088130B" w:rsidP="001D4A3D">
      <w:pPr>
        <w:pStyle w:val="Akapitzlist"/>
        <w:numPr>
          <w:ilvl w:val="0"/>
          <w:numId w:val="16"/>
        </w:numPr>
        <w:spacing w:after="0"/>
        <w:jc w:val="both"/>
        <w:rPr>
          <w:rFonts w:ascii="ScalaSansPro-Regular" w:hAnsi="ScalaSansPro-Regular"/>
        </w:rPr>
      </w:pPr>
      <w:r w:rsidRPr="000538BF">
        <w:rPr>
          <w:rFonts w:ascii="ScalaSansPro-Regular" w:hAnsi="ScalaSansPro-Regular"/>
        </w:rPr>
        <w:t>rozpatrywanie odwołania</w:t>
      </w:r>
      <w:r w:rsidR="001D4A3D" w:rsidRPr="000538BF">
        <w:rPr>
          <w:rFonts w:ascii="ScalaSansPro-Regular" w:hAnsi="ScalaSansPro-Regular"/>
        </w:rPr>
        <w:t xml:space="preserve"> od decyzji Komisji Wydziałowych, </w:t>
      </w:r>
    </w:p>
    <w:p w:rsidR="001D4A3D" w:rsidRPr="000538BF" w:rsidRDefault="001D4A3D" w:rsidP="001D4A3D">
      <w:pPr>
        <w:pStyle w:val="Akapitzlist"/>
        <w:numPr>
          <w:ilvl w:val="0"/>
          <w:numId w:val="16"/>
        </w:numPr>
        <w:spacing w:after="0"/>
        <w:jc w:val="both"/>
        <w:rPr>
          <w:rFonts w:ascii="ScalaSansPro-Regular" w:hAnsi="ScalaSansPro-Regular"/>
        </w:rPr>
      </w:pPr>
      <w:r w:rsidRPr="000538BF">
        <w:rPr>
          <w:rFonts w:ascii="ScalaSansPro-Regular" w:hAnsi="ScalaSansPro-Regular"/>
        </w:rPr>
        <w:t xml:space="preserve">monitorowanie procesu potwierdzania efektów uczenia się. </w:t>
      </w:r>
    </w:p>
    <w:p w:rsidR="001D4A3D" w:rsidRPr="000538BF" w:rsidRDefault="001D4A3D" w:rsidP="001D4A3D">
      <w:pPr>
        <w:spacing w:after="0"/>
        <w:rPr>
          <w:rFonts w:ascii="ScalaSansPro-Regular" w:hAnsi="ScalaSansPro-Regular"/>
        </w:rPr>
      </w:pPr>
    </w:p>
    <w:p w:rsidR="001D4A3D" w:rsidRPr="000538BF" w:rsidRDefault="001D4A3D" w:rsidP="001D4A3D">
      <w:pPr>
        <w:spacing w:after="0"/>
        <w:rPr>
          <w:rFonts w:ascii="ScalaSansPro-Regular" w:hAnsi="ScalaSansPro-Regular"/>
        </w:rPr>
      </w:pPr>
    </w:p>
    <w:p w:rsidR="001D4A3D" w:rsidRPr="000538BF" w:rsidRDefault="001D4A3D" w:rsidP="001D4A3D">
      <w:pPr>
        <w:spacing w:after="0"/>
        <w:jc w:val="center"/>
        <w:rPr>
          <w:rFonts w:ascii="ScalaSansPro-Regular" w:hAnsi="ScalaSansPro-Regular"/>
          <w:b/>
        </w:rPr>
      </w:pPr>
      <w:r w:rsidRPr="000538BF">
        <w:rPr>
          <w:rFonts w:ascii="ScalaSansPro-Regular" w:hAnsi="ScalaSansPro-Regular"/>
          <w:b/>
        </w:rPr>
        <w:t>Tryb potwierdzania efektów uczenia się</w:t>
      </w:r>
    </w:p>
    <w:p w:rsidR="001D4A3D" w:rsidRPr="000538BF" w:rsidRDefault="001D4A3D" w:rsidP="001D4A3D">
      <w:pPr>
        <w:spacing w:after="0"/>
        <w:rPr>
          <w:rFonts w:ascii="ScalaSansPro-Regular" w:hAnsi="ScalaSansPro-Regular"/>
        </w:rPr>
      </w:pPr>
    </w:p>
    <w:p w:rsidR="001D4A3D" w:rsidRPr="000538BF" w:rsidRDefault="001D4A3D" w:rsidP="001D4A3D">
      <w:pPr>
        <w:spacing w:after="0"/>
        <w:jc w:val="center"/>
        <w:rPr>
          <w:rFonts w:ascii="ScalaSansPro-Regular" w:hAnsi="ScalaSansPro-Regular"/>
        </w:rPr>
      </w:pPr>
      <w:r w:rsidRPr="000538BF">
        <w:rPr>
          <w:rFonts w:ascii="ScalaSansPro-Regular" w:hAnsi="ScalaSansPro-Regular"/>
        </w:rPr>
        <w:t>§ 12</w:t>
      </w:r>
    </w:p>
    <w:p w:rsidR="001D4A3D" w:rsidRPr="000538BF" w:rsidRDefault="001D4A3D" w:rsidP="001D4A3D">
      <w:pPr>
        <w:pStyle w:val="Akapitzlist"/>
        <w:numPr>
          <w:ilvl w:val="0"/>
          <w:numId w:val="7"/>
        </w:numPr>
        <w:spacing w:after="0"/>
        <w:ind w:left="284" w:hanging="284"/>
        <w:jc w:val="both"/>
        <w:rPr>
          <w:rFonts w:ascii="ScalaSansPro-Regular" w:hAnsi="ScalaSansPro-Regular"/>
        </w:rPr>
      </w:pPr>
      <w:r w:rsidRPr="000538BF">
        <w:rPr>
          <w:rFonts w:ascii="ScalaSansPro-Regular" w:hAnsi="ScalaSansPro-Regular"/>
        </w:rPr>
        <w:t>Postępowanie w przedmiocie potwierdzenia efektów uczenia się jest wszczynane na wniosek kandydata.</w:t>
      </w:r>
    </w:p>
    <w:p w:rsidR="001D4A3D" w:rsidRPr="000538BF" w:rsidRDefault="001D4A3D" w:rsidP="001D4A3D">
      <w:pPr>
        <w:pStyle w:val="Akapitzlist"/>
        <w:numPr>
          <w:ilvl w:val="0"/>
          <w:numId w:val="7"/>
        </w:numPr>
        <w:spacing w:after="0"/>
        <w:ind w:left="284" w:hanging="284"/>
        <w:jc w:val="both"/>
        <w:rPr>
          <w:rFonts w:ascii="ScalaSansPro-Regular" w:hAnsi="ScalaSansPro-Regular"/>
        </w:rPr>
      </w:pPr>
      <w:r w:rsidRPr="000538BF">
        <w:rPr>
          <w:rFonts w:ascii="ScalaSansPro-Regular" w:hAnsi="ScalaSansPro-Regular"/>
        </w:rPr>
        <w:t>Wniosek winien zostać złożony bezpośrednio lub pocztą na adres jednostki prowadzącej studia na kierunku, na którym kandydat ubiega się o przyjęcie na studia w drodze potwierdzenia efektów uczenia się.</w:t>
      </w:r>
    </w:p>
    <w:p w:rsidR="001D4A3D" w:rsidRPr="000538BF" w:rsidRDefault="001D4A3D" w:rsidP="001D4A3D">
      <w:pPr>
        <w:pStyle w:val="Akapitzlist"/>
        <w:numPr>
          <w:ilvl w:val="0"/>
          <w:numId w:val="7"/>
        </w:numPr>
        <w:spacing w:after="0"/>
        <w:ind w:left="284" w:hanging="284"/>
        <w:jc w:val="both"/>
        <w:rPr>
          <w:rFonts w:ascii="ScalaSansPro-Regular" w:hAnsi="ScalaSansPro-Regular"/>
        </w:rPr>
      </w:pPr>
      <w:r w:rsidRPr="000538BF">
        <w:rPr>
          <w:rFonts w:ascii="ScalaSansPro-Regular" w:hAnsi="ScalaSansPro-Regular"/>
        </w:rPr>
        <w:t>Wniosek winien zostać złożony w terminach od 1 do 15 stycznia roku kalendarzowego, w którym rozpoczyna się dany rok akademicki. Wnioski oraz zmiany wniosków złożone poza tym terminem pozostawia się bez rozpoznania.</w:t>
      </w:r>
    </w:p>
    <w:p w:rsidR="001D4A3D" w:rsidRPr="000538BF" w:rsidRDefault="001D4A3D" w:rsidP="001D4A3D">
      <w:pPr>
        <w:pStyle w:val="Akapitzlist"/>
        <w:numPr>
          <w:ilvl w:val="0"/>
          <w:numId w:val="7"/>
        </w:numPr>
        <w:spacing w:after="0"/>
        <w:ind w:left="284" w:hanging="284"/>
        <w:jc w:val="both"/>
        <w:rPr>
          <w:rFonts w:ascii="ScalaSansPro-Regular" w:hAnsi="ScalaSansPro-Regular"/>
        </w:rPr>
      </w:pPr>
      <w:r w:rsidRPr="000538BF">
        <w:rPr>
          <w:rFonts w:ascii="ScalaSansPro-Regular" w:hAnsi="ScalaSansPro-Regular"/>
        </w:rPr>
        <w:t>Kandydat składa jeden wniosek o potwierdzenie efektów uczenia się, na formularzu, którego wzór stanowi załącznik do niniejszego Regulaminu.</w:t>
      </w:r>
    </w:p>
    <w:p w:rsidR="001D4A3D" w:rsidRPr="000538BF" w:rsidRDefault="001D4A3D" w:rsidP="001D4A3D">
      <w:pPr>
        <w:pStyle w:val="Akapitzlist"/>
        <w:numPr>
          <w:ilvl w:val="0"/>
          <w:numId w:val="7"/>
        </w:numPr>
        <w:spacing w:after="0"/>
        <w:ind w:left="284" w:hanging="284"/>
        <w:jc w:val="both"/>
        <w:rPr>
          <w:rFonts w:ascii="ScalaSansPro-Regular" w:hAnsi="ScalaSansPro-Regular"/>
        </w:rPr>
      </w:pPr>
      <w:r w:rsidRPr="000538BF">
        <w:rPr>
          <w:rFonts w:ascii="ScalaSansPro-Regular" w:hAnsi="ScalaSansPro-Regular"/>
        </w:rPr>
        <w:t>Kandydat może wnioskować o potwierdzenie efektów uczenia się tylko w przypadku objęcia wnioskiem wszystkich efektów uczenia się przypisanych w liście, o której mowa w § 4 ust. 4 do danego przedmiotu na wybranym kierunku, poziomie i profilu kształcenia. Brak objęcia wnioskiem wszystkich efektów niezbędnych do zaliczenia danego przedmiotu stanowi brak wniosku podlegający uzupełnieniu.</w:t>
      </w:r>
    </w:p>
    <w:p w:rsidR="001D4A3D" w:rsidRPr="000538BF" w:rsidRDefault="001D4A3D" w:rsidP="001D4A3D">
      <w:pPr>
        <w:pStyle w:val="Akapitzlist"/>
        <w:numPr>
          <w:ilvl w:val="0"/>
          <w:numId w:val="7"/>
        </w:numPr>
        <w:spacing w:after="0"/>
        <w:ind w:left="284" w:hanging="284"/>
        <w:jc w:val="both"/>
        <w:rPr>
          <w:rFonts w:ascii="ScalaSansPro-Regular" w:hAnsi="ScalaSansPro-Regular"/>
        </w:rPr>
      </w:pPr>
      <w:r w:rsidRPr="000538BF">
        <w:rPr>
          <w:rFonts w:ascii="ScalaSansPro-Regular" w:hAnsi="ScalaSansPro-Regular"/>
        </w:rPr>
        <w:t xml:space="preserve">Kandydat załącza do wniosku dowody spełnienia wymogów formalnych, o których mowa w § 5, a w szczególności: </w:t>
      </w:r>
    </w:p>
    <w:p w:rsidR="001D4A3D" w:rsidRPr="000538BF" w:rsidRDefault="001D4A3D" w:rsidP="001D4A3D">
      <w:pPr>
        <w:pStyle w:val="Akapitzlist"/>
        <w:numPr>
          <w:ilvl w:val="0"/>
          <w:numId w:val="8"/>
        </w:numPr>
        <w:spacing w:after="0"/>
        <w:ind w:left="567" w:hanging="283"/>
        <w:jc w:val="both"/>
        <w:rPr>
          <w:rFonts w:ascii="ScalaSansPro-Regular" w:hAnsi="ScalaSansPro-Regular"/>
        </w:rPr>
      </w:pPr>
      <w:r w:rsidRPr="000538BF">
        <w:rPr>
          <w:rFonts w:ascii="ScalaSansPro-Regular" w:hAnsi="ScalaSansPro-Regular"/>
        </w:rPr>
        <w:t>świadectwo dojrzałości;</w:t>
      </w:r>
    </w:p>
    <w:p w:rsidR="001D4A3D" w:rsidRPr="000538BF" w:rsidRDefault="001D4A3D" w:rsidP="001D4A3D">
      <w:pPr>
        <w:pStyle w:val="Akapitzlist"/>
        <w:numPr>
          <w:ilvl w:val="0"/>
          <w:numId w:val="8"/>
        </w:numPr>
        <w:spacing w:after="0"/>
        <w:ind w:left="567" w:hanging="283"/>
        <w:jc w:val="both"/>
        <w:rPr>
          <w:rFonts w:ascii="ScalaSansPro-Regular" w:hAnsi="ScalaSansPro-Regular"/>
        </w:rPr>
      </w:pPr>
      <w:r w:rsidRPr="000538BF">
        <w:rPr>
          <w:rFonts w:ascii="ScalaSansPro-Regular" w:hAnsi="ScalaSansPro-Regular"/>
        </w:rPr>
        <w:t>dyplom ukończenia studiów (w przypadku kandydatów, o których mowa w § 5 ust.1 pkt. 2 i 3);</w:t>
      </w:r>
    </w:p>
    <w:p w:rsidR="001D4A3D" w:rsidRPr="000538BF" w:rsidRDefault="001D4A3D" w:rsidP="001D4A3D">
      <w:pPr>
        <w:pStyle w:val="Akapitzlist"/>
        <w:numPr>
          <w:ilvl w:val="0"/>
          <w:numId w:val="8"/>
        </w:numPr>
        <w:spacing w:after="0"/>
        <w:ind w:left="567" w:hanging="283"/>
        <w:jc w:val="both"/>
        <w:rPr>
          <w:rFonts w:ascii="ScalaSansPro-Regular" w:hAnsi="ScalaSansPro-Regular"/>
        </w:rPr>
      </w:pPr>
      <w:r w:rsidRPr="000538BF">
        <w:rPr>
          <w:rFonts w:ascii="ScalaSansPro-Regular" w:hAnsi="ScalaSansPro-Regular"/>
        </w:rPr>
        <w:t>dokumenty potwierdzające wymagane doświadczenie zawodowe;</w:t>
      </w:r>
    </w:p>
    <w:p w:rsidR="001D4A3D" w:rsidRPr="000538BF" w:rsidRDefault="001D4A3D" w:rsidP="001D4A3D">
      <w:pPr>
        <w:pStyle w:val="Akapitzlist"/>
        <w:numPr>
          <w:ilvl w:val="0"/>
          <w:numId w:val="8"/>
        </w:numPr>
        <w:spacing w:after="0"/>
        <w:ind w:left="567" w:hanging="283"/>
        <w:jc w:val="both"/>
        <w:rPr>
          <w:rFonts w:ascii="ScalaSansPro-Regular" w:hAnsi="ScalaSansPro-Regular"/>
        </w:rPr>
      </w:pPr>
      <w:r w:rsidRPr="000538BF">
        <w:rPr>
          <w:rFonts w:ascii="ScalaSansPro-Regular" w:hAnsi="ScalaSansPro-Regular"/>
        </w:rPr>
        <w:t>dokumentację pomagającą ocenić wiedzę, umiejętności i kompetencje społeczne, które zostały nabyte w systemach kształcenia pozaformalnego i nieformalnego;</w:t>
      </w:r>
    </w:p>
    <w:p w:rsidR="001D4A3D" w:rsidRPr="000538BF" w:rsidRDefault="001D4A3D" w:rsidP="001D4A3D">
      <w:pPr>
        <w:pStyle w:val="Akapitzlist"/>
        <w:numPr>
          <w:ilvl w:val="0"/>
          <w:numId w:val="8"/>
        </w:numPr>
        <w:spacing w:after="0"/>
        <w:ind w:left="567" w:hanging="283"/>
        <w:jc w:val="both"/>
        <w:rPr>
          <w:rFonts w:ascii="ScalaSansPro-Regular" w:hAnsi="ScalaSansPro-Regular"/>
        </w:rPr>
      </w:pPr>
      <w:r w:rsidRPr="000538BF">
        <w:rPr>
          <w:rFonts w:ascii="ScalaSansPro-Regular" w:hAnsi="ScalaSansPro-Regular"/>
        </w:rPr>
        <w:t>kserokopię dowodu osobistego.</w:t>
      </w:r>
    </w:p>
    <w:p w:rsidR="001D4A3D" w:rsidRPr="000538BF" w:rsidRDefault="001D4A3D" w:rsidP="001D4A3D">
      <w:pPr>
        <w:pStyle w:val="Akapitzlist"/>
        <w:numPr>
          <w:ilvl w:val="0"/>
          <w:numId w:val="7"/>
        </w:numPr>
        <w:spacing w:after="0"/>
        <w:ind w:left="284" w:hanging="284"/>
        <w:jc w:val="both"/>
        <w:rPr>
          <w:rFonts w:ascii="ScalaSansPro-Regular" w:hAnsi="ScalaSansPro-Regular"/>
        </w:rPr>
      </w:pPr>
      <w:r w:rsidRPr="000538BF">
        <w:rPr>
          <w:rFonts w:ascii="ScalaSansPro-Regular" w:hAnsi="ScalaSansPro-Regular"/>
        </w:rPr>
        <w:t xml:space="preserve">Dowodem potwierdzającym doświadczenie zawodowe mogą być w szczególności: </w:t>
      </w:r>
    </w:p>
    <w:p w:rsidR="001D4A3D" w:rsidRPr="000538BF" w:rsidRDefault="001D4A3D" w:rsidP="001D4A3D">
      <w:pPr>
        <w:pStyle w:val="Akapitzlist"/>
        <w:numPr>
          <w:ilvl w:val="0"/>
          <w:numId w:val="24"/>
        </w:numPr>
        <w:spacing w:after="0"/>
        <w:jc w:val="both"/>
        <w:rPr>
          <w:rFonts w:ascii="ScalaSansPro-Regular" w:hAnsi="ScalaSansPro-Regular"/>
        </w:rPr>
      </w:pPr>
      <w:r w:rsidRPr="000538BF">
        <w:rPr>
          <w:rFonts w:ascii="ScalaSansPro-Regular" w:hAnsi="ScalaSansPro-Regular"/>
        </w:rPr>
        <w:t xml:space="preserve">zaświadczenia z zakładu pracy, </w:t>
      </w:r>
    </w:p>
    <w:p w:rsidR="001D4A3D" w:rsidRPr="000538BF" w:rsidRDefault="001D4A3D" w:rsidP="001D4A3D">
      <w:pPr>
        <w:pStyle w:val="Akapitzlist"/>
        <w:numPr>
          <w:ilvl w:val="0"/>
          <w:numId w:val="24"/>
        </w:numPr>
        <w:spacing w:after="0"/>
        <w:jc w:val="both"/>
        <w:rPr>
          <w:rFonts w:ascii="ScalaSansPro-Regular" w:hAnsi="ScalaSansPro-Regular"/>
        </w:rPr>
      </w:pPr>
      <w:r w:rsidRPr="000538BF">
        <w:rPr>
          <w:rFonts w:ascii="ScalaSansPro-Regular" w:hAnsi="ScalaSansPro-Regular"/>
        </w:rPr>
        <w:t xml:space="preserve">świadectwo pracy, </w:t>
      </w:r>
    </w:p>
    <w:p w:rsidR="001D4A3D" w:rsidRPr="000538BF" w:rsidRDefault="001D4A3D" w:rsidP="001D4A3D">
      <w:pPr>
        <w:pStyle w:val="Akapitzlist"/>
        <w:numPr>
          <w:ilvl w:val="0"/>
          <w:numId w:val="24"/>
        </w:numPr>
        <w:spacing w:after="0"/>
        <w:jc w:val="both"/>
        <w:rPr>
          <w:rFonts w:ascii="ScalaSansPro-Regular" w:hAnsi="ScalaSansPro-Regular"/>
        </w:rPr>
      </w:pPr>
      <w:r w:rsidRPr="000538BF">
        <w:rPr>
          <w:rFonts w:ascii="ScalaSansPro-Regular" w:hAnsi="ScalaSansPro-Regular"/>
        </w:rPr>
        <w:t xml:space="preserve">umowa o pracę. </w:t>
      </w:r>
    </w:p>
    <w:p w:rsidR="001D4A3D" w:rsidRPr="000538BF" w:rsidRDefault="001D4A3D" w:rsidP="001D4A3D">
      <w:pPr>
        <w:pStyle w:val="Akapitzlist"/>
        <w:numPr>
          <w:ilvl w:val="0"/>
          <w:numId w:val="7"/>
        </w:numPr>
        <w:spacing w:after="0"/>
        <w:ind w:left="284" w:hanging="284"/>
        <w:jc w:val="both"/>
        <w:rPr>
          <w:rFonts w:ascii="ScalaSansPro-Regular" w:hAnsi="ScalaSansPro-Regular"/>
        </w:rPr>
      </w:pPr>
      <w:r w:rsidRPr="000538BF">
        <w:rPr>
          <w:rFonts w:ascii="ScalaSansPro-Regular" w:hAnsi="ScalaSansPro-Regular"/>
        </w:rPr>
        <w:lastRenderedPageBreak/>
        <w:t xml:space="preserve">Dokumentami pomocnymi w toku weryfikacji okoliczności, o których mowa w ust. 6 pkt. 4, mogą być w szczególności: </w:t>
      </w:r>
    </w:p>
    <w:p w:rsidR="001D4A3D" w:rsidRPr="000538BF" w:rsidRDefault="001D4A3D" w:rsidP="001D4A3D">
      <w:pPr>
        <w:pStyle w:val="Akapitzlist"/>
        <w:numPr>
          <w:ilvl w:val="0"/>
          <w:numId w:val="9"/>
        </w:numPr>
        <w:spacing w:after="0"/>
        <w:ind w:left="567" w:hanging="283"/>
        <w:jc w:val="both"/>
        <w:rPr>
          <w:rFonts w:ascii="ScalaSansPro-Regular" w:hAnsi="ScalaSansPro-Regular"/>
        </w:rPr>
      </w:pPr>
      <w:r w:rsidRPr="000538BF">
        <w:rPr>
          <w:rFonts w:ascii="ScalaSansPro-Regular" w:hAnsi="ScalaSansPro-Regular"/>
        </w:rPr>
        <w:t xml:space="preserve">opinie pracodawcy, </w:t>
      </w:r>
    </w:p>
    <w:p w:rsidR="001D4A3D" w:rsidRPr="000538BF" w:rsidRDefault="001D4A3D" w:rsidP="001D4A3D">
      <w:pPr>
        <w:pStyle w:val="Akapitzlist"/>
        <w:numPr>
          <w:ilvl w:val="0"/>
          <w:numId w:val="9"/>
        </w:numPr>
        <w:spacing w:after="0"/>
        <w:ind w:left="567" w:hanging="283"/>
        <w:jc w:val="both"/>
        <w:rPr>
          <w:rFonts w:ascii="ScalaSansPro-Regular" w:hAnsi="ScalaSansPro-Regular"/>
        </w:rPr>
      </w:pPr>
      <w:r w:rsidRPr="000538BF">
        <w:rPr>
          <w:rFonts w:ascii="ScalaSansPro-Regular" w:hAnsi="ScalaSansPro-Regular"/>
        </w:rPr>
        <w:t>referencje i rekomendacje,</w:t>
      </w:r>
    </w:p>
    <w:p w:rsidR="001D4A3D" w:rsidRPr="000538BF" w:rsidRDefault="001D4A3D" w:rsidP="001D4A3D">
      <w:pPr>
        <w:pStyle w:val="Akapitzlist"/>
        <w:numPr>
          <w:ilvl w:val="0"/>
          <w:numId w:val="9"/>
        </w:numPr>
        <w:spacing w:after="0"/>
        <w:ind w:left="567" w:hanging="283"/>
        <w:jc w:val="both"/>
        <w:rPr>
          <w:rFonts w:ascii="ScalaSansPro-Regular" w:hAnsi="ScalaSansPro-Regular"/>
        </w:rPr>
      </w:pPr>
      <w:r w:rsidRPr="000538BF">
        <w:rPr>
          <w:rFonts w:ascii="ScalaSansPro-Regular" w:hAnsi="ScalaSansPro-Regular"/>
        </w:rPr>
        <w:t>opis stanowiska pracy, zakres obowiązków,</w:t>
      </w:r>
    </w:p>
    <w:p w:rsidR="001D4A3D" w:rsidRPr="000538BF" w:rsidRDefault="001D4A3D" w:rsidP="001D4A3D">
      <w:pPr>
        <w:pStyle w:val="Akapitzlist"/>
        <w:numPr>
          <w:ilvl w:val="0"/>
          <w:numId w:val="9"/>
        </w:numPr>
        <w:spacing w:after="0"/>
        <w:ind w:left="567" w:hanging="283"/>
        <w:jc w:val="both"/>
        <w:rPr>
          <w:rFonts w:ascii="ScalaSansPro-Regular" w:hAnsi="ScalaSansPro-Regular"/>
        </w:rPr>
      </w:pPr>
      <w:r w:rsidRPr="000538BF">
        <w:rPr>
          <w:rFonts w:ascii="ScalaSansPro-Regular" w:hAnsi="ScalaSansPro-Regular"/>
        </w:rPr>
        <w:t>certyfikaty, świadectwa i zaświadczenia ukończonych kursów lub szkoleń,</w:t>
      </w:r>
    </w:p>
    <w:p w:rsidR="001D4A3D" w:rsidRPr="000538BF" w:rsidRDefault="001D4A3D" w:rsidP="001D4A3D">
      <w:pPr>
        <w:pStyle w:val="Akapitzlist"/>
        <w:numPr>
          <w:ilvl w:val="0"/>
          <w:numId w:val="9"/>
        </w:numPr>
        <w:spacing w:after="0"/>
        <w:ind w:left="567" w:hanging="283"/>
        <w:jc w:val="both"/>
        <w:rPr>
          <w:rFonts w:ascii="ScalaSansPro-Regular" w:hAnsi="ScalaSansPro-Regular"/>
        </w:rPr>
      </w:pPr>
      <w:r w:rsidRPr="000538BF">
        <w:rPr>
          <w:rFonts w:ascii="ScalaSansPro-Regular" w:hAnsi="ScalaSansPro-Regular"/>
        </w:rPr>
        <w:t xml:space="preserve">własny opis doświadczenia zawodowego. </w:t>
      </w:r>
    </w:p>
    <w:p w:rsidR="001D4A3D" w:rsidRPr="000538BF" w:rsidRDefault="001D4A3D" w:rsidP="001D4A3D">
      <w:pPr>
        <w:pStyle w:val="Akapitzlist"/>
        <w:numPr>
          <w:ilvl w:val="0"/>
          <w:numId w:val="7"/>
        </w:numPr>
        <w:spacing w:after="0"/>
        <w:ind w:left="284" w:hanging="284"/>
        <w:jc w:val="both"/>
        <w:rPr>
          <w:rFonts w:ascii="ScalaSansPro-Regular" w:hAnsi="ScalaSansPro-Regular"/>
        </w:rPr>
      </w:pPr>
      <w:r w:rsidRPr="000538BF">
        <w:rPr>
          <w:rFonts w:ascii="ScalaSansPro-Regular" w:hAnsi="ScalaSansPro-Regular"/>
        </w:rPr>
        <w:t xml:space="preserve">Dokumenty, o których mowa w ust. 6, powinny być załączone w oryginale lub urzędowym odpisie albo kopii potwierdzonej notarialnie. Możliwe jest załączenie niepotwierdzonej kopii w przypadku udostępnienia pracownikowi jednostki przyjmującemu dokumenty do wglądu oryginału, jeżeli na jego podstawie pracownik jednostki będzie mógł potwierdzić kopię za zgodność z przedstawionym oryginałem. </w:t>
      </w:r>
    </w:p>
    <w:p w:rsidR="001D4A3D" w:rsidRPr="000538BF" w:rsidRDefault="001D4A3D" w:rsidP="001D4A3D">
      <w:pPr>
        <w:spacing w:after="0"/>
        <w:rPr>
          <w:rFonts w:ascii="ScalaSansPro-Regular" w:hAnsi="ScalaSansPro-Regular"/>
        </w:rPr>
      </w:pPr>
    </w:p>
    <w:p w:rsidR="001D4A3D" w:rsidRPr="000538BF" w:rsidRDefault="001D4A3D" w:rsidP="001D4A3D">
      <w:pPr>
        <w:spacing w:after="0"/>
        <w:jc w:val="center"/>
        <w:rPr>
          <w:rFonts w:ascii="ScalaSansPro-Regular" w:hAnsi="ScalaSansPro-Regular"/>
        </w:rPr>
      </w:pPr>
      <w:r w:rsidRPr="000538BF">
        <w:rPr>
          <w:rFonts w:ascii="ScalaSansPro-Regular" w:hAnsi="ScalaSansPro-Regular"/>
        </w:rPr>
        <w:t>§ 13</w:t>
      </w:r>
    </w:p>
    <w:p w:rsidR="001D4A3D" w:rsidRPr="000538BF" w:rsidRDefault="001D4A3D" w:rsidP="001D4A3D">
      <w:pPr>
        <w:pStyle w:val="Akapitzlist"/>
        <w:numPr>
          <w:ilvl w:val="0"/>
          <w:numId w:val="17"/>
        </w:numPr>
        <w:spacing w:after="0"/>
        <w:ind w:left="284" w:hanging="284"/>
        <w:jc w:val="both"/>
        <w:rPr>
          <w:rFonts w:ascii="ScalaSansPro-Regular" w:hAnsi="ScalaSansPro-Regular"/>
        </w:rPr>
      </w:pPr>
      <w:r w:rsidRPr="000538BF">
        <w:rPr>
          <w:rFonts w:ascii="ScalaSansPro-Regular" w:hAnsi="ScalaSansPro-Regular"/>
        </w:rPr>
        <w:t>Po upływie terminu na składanie wniosków Komisja Wydziałowa:</w:t>
      </w:r>
    </w:p>
    <w:p w:rsidR="001D4A3D" w:rsidRPr="000538BF" w:rsidRDefault="001D4A3D" w:rsidP="001D4A3D">
      <w:pPr>
        <w:pStyle w:val="Akapitzlist"/>
        <w:numPr>
          <w:ilvl w:val="0"/>
          <w:numId w:val="18"/>
        </w:numPr>
        <w:spacing w:after="0"/>
        <w:ind w:left="567" w:hanging="283"/>
        <w:jc w:val="both"/>
        <w:rPr>
          <w:rFonts w:ascii="ScalaSansPro-Regular" w:hAnsi="ScalaSansPro-Regular"/>
        </w:rPr>
      </w:pPr>
      <w:r w:rsidRPr="000538BF">
        <w:rPr>
          <w:rFonts w:ascii="ScalaSansPro-Regular" w:hAnsi="ScalaSansPro-Regular"/>
        </w:rPr>
        <w:t xml:space="preserve">zapoznaje się z treścią złożonego wniosku i sprawdza jego kompletność oraz ustala czy spełnione zostały warunki formalne przystąpienia kandydata do procesu potwierdzania efektów uczenia się, </w:t>
      </w:r>
    </w:p>
    <w:p w:rsidR="001D4A3D" w:rsidRPr="000538BF" w:rsidRDefault="001D4A3D" w:rsidP="001D4A3D">
      <w:pPr>
        <w:pStyle w:val="Akapitzlist"/>
        <w:numPr>
          <w:ilvl w:val="0"/>
          <w:numId w:val="18"/>
        </w:numPr>
        <w:spacing w:after="0"/>
        <w:ind w:left="567" w:hanging="283"/>
        <w:jc w:val="both"/>
        <w:rPr>
          <w:rFonts w:ascii="ScalaSansPro-Regular" w:hAnsi="ScalaSansPro-Regular"/>
        </w:rPr>
      </w:pPr>
      <w:r w:rsidRPr="000538BF">
        <w:rPr>
          <w:rFonts w:ascii="ScalaSansPro-Regular" w:hAnsi="ScalaSansPro-Regular"/>
        </w:rPr>
        <w:t>zawiadamia kandydata pisemnie o przyjęciu wniosku i jednocześnie:</w:t>
      </w:r>
    </w:p>
    <w:p w:rsidR="001D4A3D" w:rsidRPr="000538BF" w:rsidRDefault="001D4A3D" w:rsidP="001D4A3D">
      <w:pPr>
        <w:pStyle w:val="Akapitzlist"/>
        <w:numPr>
          <w:ilvl w:val="0"/>
          <w:numId w:val="32"/>
        </w:numPr>
        <w:spacing w:after="0"/>
        <w:jc w:val="both"/>
        <w:rPr>
          <w:rFonts w:ascii="ScalaSansPro-Regular" w:hAnsi="ScalaSansPro-Regular"/>
        </w:rPr>
      </w:pPr>
      <w:r w:rsidRPr="000538BF">
        <w:rPr>
          <w:rFonts w:ascii="ScalaSansPro-Regular" w:hAnsi="ScalaSansPro-Regular"/>
        </w:rPr>
        <w:t>w przypadku stwierdzenia braków formalnych wniosku albo w przypadku, gdy dostarczone dokumenty nie potwierdzają spełnienia wymogów przystąpienia kandydata do procesu potwierdzania efektów uczenia się zobowiązuje kandydata do uzupełnienia wniosku,</w:t>
      </w:r>
    </w:p>
    <w:p w:rsidR="001D4A3D" w:rsidRPr="000538BF" w:rsidRDefault="001D4A3D" w:rsidP="001D4A3D">
      <w:pPr>
        <w:pStyle w:val="Akapitzlist"/>
        <w:numPr>
          <w:ilvl w:val="0"/>
          <w:numId w:val="32"/>
        </w:numPr>
        <w:spacing w:after="0"/>
        <w:jc w:val="both"/>
        <w:rPr>
          <w:rFonts w:ascii="ScalaSansPro-Regular" w:hAnsi="ScalaSansPro-Regular"/>
        </w:rPr>
      </w:pPr>
      <w:r w:rsidRPr="000538BF">
        <w:rPr>
          <w:rFonts w:ascii="ScalaSansPro-Regular" w:hAnsi="ScalaSansPro-Regular"/>
        </w:rPr>
        <w:t>informuje o miejscu, terminie i sposobie przeprowadzenia poszczególnych etapów procesu potwierdzania efektów uczenia się, a także o materiałach i narzędziach wymaganych od kandydata w toku przeprowadzenia poszczególnych etapów tego procesu,</w:t>
      </w:r>
    </w:p>
    <w:p w:rsidR="001D4A3D" w:rsidRPr="000538BF" w:rsidRDefault="001D4A3D" w:rsidP="001D4A3D">
      <w:pPr>
        <w:pStyle w:val="Akapitzlist"/>
        <w:numPr>
          <w:ilvl w:val="0"/>
          <w:numId w:val="32"/>
        </w:numPr>
        <w:spacing w:after="0"/>
        <w:jc w:val="both"/>
        <w:rPr>
          <w:rFonts w:ascii="ScalaSansPro-Regular" w:hAnsi="ScalaSansPro-Regular"/>
        </w:rPr>
      </w:pPr>
      <w:r w:rsidRPr="000538BF">
        <w:rPr>
          <w:rFonts w:ascii="ScalaSansPro-Regular" w:hAnsi="ScalaSansPro-Regular"/>
        </w:rPr>
        <w:t>informuje o wysokości opłaty za przeprowadzenie procesu potwierdzenia efektów uczenia się i wzywa do jej wniesienia,</w:t>
      </w:r>
    </w:p>
    <w:p w:rsidR="001D4A3D" w:rsidRPr="000538BF" w:rsidRDefault="001D4A3D" w:rsidP="001D4A3D">
      <w:pPr>
        <w:pStyle w:val="Akapitzlist"/>
        <w:numPr>
          <w:ilvl w:val="0"/>
          <w:numId w:val="32"/>
        </w:numPr>
        <w:spacing w:after="0"/>
        <w:jc w:val="both"/>
        <w:rPr>
          <w:rFonts w:ascii="ScalaSansPro-Regular" w:hAnsi="ScalaSansPro-Regular"/>
        </w:rPr>
      </w:pPr>
      <w:r w:rsidRPr="000538BF">
        <w:rPr>
          <w:rFonts w:ascii="ScalaSansPro-Regular" w:hAnsi="ScalaSansPro-Regular"/>
        </w:rPr>
        <w:t>wzywa kandydata do podpisania umowy o przeprowadzenie procesu pot</w:t>
      </w:r>
      <w:r w:rsidR="00E20312" w:rsidRPr="000538BF">
        <w:rPr>
          <w:rFonts w:ascii="ScalaSansPro-Regular" w:hAnsi="ScalaSansPro-Regular"/>
        </w:rPr>
        <w:t xml:space="preserve">wierdzenia efektów uczenia się </w:t>
      </w:r>
      <w:r w:rsidRPr="000538BF">
        <w:rPr>
          <w:rFonts w:ascii="ScalaSansPro-Regular" w:hAnsi="ScalaSansPro-Regular"/>
        </w:rPr>
        <w:t>stanowiącej załącznik do zawiadomienia.</w:t>
      </w:r>
    </w:p>
    <w:p w:rsidR="001D4A3D" w:rsidRPr="000538BF" w:rsidRDefault="001D4A3D" w:rsidP="001D4A3D">
      <w:pPr>
        <w:pStyle w:val="Akapitzlist"/>
        <w:numPr>
          <w:ilvl w:val="0"/>
          <w:numId w:val="17"/>
        </w:numPr>
        <w:spacing w:after="0"/>
        <w:ind w:left="284" w:hanging="284"/>
        <w:jc w:val="both"/>
        <w:rPr>
          <w:rFonts w:ascii="ScalaSansPro-Regular" w:hAnsi="ScalaSansPro-Regular"/>
        </w:rPr>
      </w:pPr>
      <w:r w:rsidRPr="000538BF">
        <w:rPr>
          <w:rFonts w:ascii="ScalaSansPro-Regular" w:hAnsi="ScalaSansPro-Regular"/>
        </w:rPr>
        <w:t>W terminie 10 dni od dnia doręczenia zawiadomienia, o którym mowa w ust. 1 pkt 2) kandydat winien dostarczyć do Akademii osobiście lub nadać pocztą (decyduje data stempla pocztowego):</w:t>
      </w:r>
    </w:p>
    <w:p w:rsidR="001D4A3D" w:rsidRPr="000538BF" w:rsidRDefault="001D4A3D" w:rsidP="001D4A3D">
      <w:pPr>
        <w:pStyle w:val="Akapitzlist"/>
        <w:numPr>
          <w:ilvl w:val="0"/>
          <w:numId w:val="33"/>
        </w:numPr>
        <w:spacing w:after="0"/>
        <w:ind w:hanging="11"/>
        <w:jc w:val="both"/>
        <w:rPr>
          <w:rFonts w:ascii="ScalaSansPro-Regular" w:hAnsi="ScalaSansPro-Regular"/>
        </w:rPr>
      </w:pPr>
      <w:r w:rsidRPr="000538BF">
        <w:rPr>
          <w:rFonts w:ascii="ScalaSansPro-Regular" w:hAnsi="ScalaSansPro-Regular"/>
        </w:rPr>
        <w:t>uzupełnienie braków, o których mowa w ust. 1 pkt 2) lit a),</w:t>
      </w:r>
    </w:p>
    <w:p w:rsidR="001D4A3D" w:rsidRPr="000538BF" w:rsidRDefault="001D4A3D" w:rsidP="001D4A3D">
      <w:pPr>
        <w:pStyle w:val="Akapitzlist"/>
        <w:numPr>
          <w:ilvl w:val="0"/>
          <w:numId w:val="33"/>
        </w:numPr>
        <w:spacing w:after="0"/>
        <w:ind w:hanging="11"/>
        <w:jc w:val="both"/>
        <w:rPr>
          <w:rFonts w:ascii="ScalaSansPro-Regular" w:hAnsi="ScalaSansPro-Regular"/>
        </w:rPr>
      </w:pPr>
      <w:r w:rsidRPr="000538BF">
        <w:rPr>
          <w:rFonts w:ascii="ScalaSansPro-Regular" w:hAnsi="ScalaSansPro-Regular"/>
        </w:rPr>
        <w:t>dowód wniesienia pełnej opłaty, o której mowa w ust. 1 pkt 2) lit c),</w:t>
      </w:r>
    </w:p>
    <w:p w:rsidR="001D4A3D" w:rsidRPr="000538BF" w:rsidRDefault="001D4A3D" w:rsidP="001D4A3D">
      <w:pPr>
        <w:pStyle w:val="Akapitzlist"/>
        <w:numPr>
          <w:ilvl w:val="0"/>
          <w:numId w:val="33"/>
        </w:numPr>
        <w:spacing w:after="0"/>
        <w:ind w:hanging="11"/>
        <w:jc w:val="both"/>
        <w:rPr>
          <w:rFonts w:ascii="ScalaSansPro-Regular" w:hAnsi="ScalaSansPro-Regular"/>
        </w:rPr>
      </w:pPr>
      <w:r w:rsidRPr="000538BF">
        <w:rPr>
          <w:rFonts w:ascii="ScalaSansPro-Regular" w:hAnsi="ScalaSansPro-Regular"/>
        </w:rPr>
        <w:t>podpisaną umowę, o której mowa w ust. 1 pkt 2) lit d),</w:t>
      </w:r>
    </w:p>
    <w:p w:rsidR="001D4A3D" w:rsidRPr="000538BF" w:rsidRDefault="001D4A3D" w:rsidP="001D4A3D">
      <w:pPr>
        <w:pStyle w:val="Akapitzlist"/>
        <w:spacing w:after="0"/>
        <w:ind w:left="284"/>
        <w:jc w:val="both"/>
        <w:rPr>
          <w:rFonts w:ascii="ScalaSansPro-Regular" w:hAnsi="ScalaSansPro-Regular"/>
        </w:rPr>
      </w:pPr>
      <w:r w:rsidRPr="000538BF">
        <w:rPr>
          <w:rFonts w:ascii="ScalaSansPro-Regular" w:hAnsi="ScalaSansPro-Regular"/>
        </w:rPr>
        <w:t xml:space="preserve">pod rygorem uznania, że kandydat cofa wniosek o potwierdzenie efektów uczenia się i nie wnosi o jego dalsze rozpoznanie. </w:t>
      </w:r>
    </w:p>
    <w:p w:rsidR="001D4A3D" w:rsidRPr="000538BF" w:rsidRDefault="001D4A3D" w:rsidP="001D4A3D">
      <w:pPr>
        <w:pStyle w:val="Akapitzlist"/>
        <w:numPr>
          <w:ilvl w:val="0"/>
          <w:numId w:val="17"/>
        </w:numPr>
        <w:spacing w:after="0"/>
        <w:ind w:left="284" w:hanging="284"/>
        <w:jc w:val="both"/>
        <w:rPr>
          <w:rFonts w:ascii="ScalaSansPro-Regular" w:hAnsi="ScalaSansPro-Regular"/>
        </w:rPr>
      </w:pPr>
      <w:r w:rsidRPr="000538BF">
        <w:rPr>
          <w:rFonts w:ascii="ScalaSansPro-Regular" w:hAnsi="ScalaSansPro-Regular"/>
        </w:rPr>
        <w:t>W przypadku pozostawienia wniosku bez rozpoznania, w okolicznościach wskazanych w ust. 2 Przewodniczący Komisji Wydziałowej informuje o tym kandydata na piśmie podając uzasadnienie.</w:t>
      </w:r>
    </w:p>
    <w:p w:rsidR="009028BF" w:rsidRPr="00C04F14" w:rsidRDefault="001D4A3D" w:rsidP="00C04F14">
      <w:pPr>
        <w:pStyle w:val="Akapitzlist"/>
        <w:numPr>
          <w:ilvl w:val="0"/>
          <w:numId w:val="17"/>
        </w:numPr>
        <w:spacing w:after="0"/>
        <w:ind w:left="284" w:hanging="284"/>
        <w:jc w:val="both"/>
        <w:rPr>
          <w:rFonts w:ascii="ScalaSansPro-Regular" w:hAnsi="ScalaSansPro-Regular"/>
        </w:rPr>
      </w:pPr>
      <w:r w:rsidRPr="000538BF">
        <w:rPr>
          <w:rFonts w:ascii="ScalaSansPro-Regular" w:hAnsi="ScalaSansPro-Regular"/>
        </w:rPr>
        <w:t xml:space="preserve">W przypadku, gdy kandydat wniósł opłatę za przeprowadzenie procesu potwierdzenia efektów uczenia się, a wniosek pozostawiony został bez rozpoznania w okolicznościach, o których mowa w ust. 2, opłata jest zwracana na rachunek bankowy, z którego została uiszczona (chyba, że kandydat pisemnie wskaże inny rachunek bankowy), z potrąceniem 50 % tytułem czynności </w:t>
      </w:r>
      <w:r w:rsidRPr="000538BF">
        <w:rPr>
          <w:rFonts w:ascii="ScalaSansPro-Regular" w:hAnsi="ScalaSansPro-Regular"/>
        </w:rPr>
        <w:lastRenderedPageBreak/>
        <w:t>podjętych dotychczas w toku procesu potwierdzania efektów uczenia się (w szczególności weryfikacji złożonego wniosku, przygotowania zawiadomienia wraz z załącznikiem)</w:t>
      </w:r>
    </w:p>
    <w:p w:rsidR="009028BF" w:rsidRPr="000538BF" w:rsidRDefault="009028BF" w:rsidP="001D4A3D">
      <w:pPr>
        <w:spacing w:after="0"/>
        <w:jc w:val="center"/>
        <w:rPr>
          <w:rFonts w:ascii="ScalaSansPro-Regular" w:hAnsi="ScalaSansPro-Regular"/>
        </w:rPr>
      </w:pPr>
    </w:p>
    <w:p w:rsidR="001D4A3D" w:rsidRPr="000538BF" w:rsidRDefault="001D4A3D" w:rsidP="001D4A3D">
      <w:pPr>
        <w:spacing w:after="0"/>
        <w:jc w:val="center"/>
        <w:rPr>
          <w:rFonts w:ascii="ScalaSansPro-Regular" w:hAnsi="ScalaSansPro-Regular"/>
        </w:rPr>
      </w:pPr>
      <w:r w:rsidRPr="000538BF">
        <w:rPr>
          <w:rFonts w:ascii="ScalaSansPro-Regular" w:hAnsi="ScalaSansPro-Regular"/>
        </w:rPr>
        <w:t>§ 14</w:t>
      </w:r>
    </w:p>
    <w:p w:rsidR="001D4A3D" w:rsidRPr="000538BF" w:rsidRDefault="001D4A3D" w:rsidP="001D4A3D">
      <w:pPr>
        <w:pStyle w:val="Akapitzlist"/>
        <w:numPr>
          <w:ilvl w:val="0"/>
          <w:numId w:val="25"/>
        </w:numPr>
        <w:spacing w:after="0"/>
        <w:ind w:left="284" w:hanging="284"/>
        <w:jc w:val="both"/>
        <w:rPr>
          <w:rFonts w:ascii="ScalaSansPro-Regular" w:hAnsi="ScalaSansPro-Regular"/>
        </w:rPr>
      </w:pPr>
      <w:r w:rsidRPr="000538BF">
        <w:rPr>
          <w:rFonts w:ascii="ScalaSansPro-Regular" w:hAnsi="ScalaSansPro-Regular"/>
        </w:rPr>
        <w:t>Proces potwierdzania efektów uczenia się przez Komisję Wydziałową, jako prowadzący do przyjęcia kandydata na studia, składa się z następujących etapów:</w:t>
      </w:r>
    </w:p>
    <w:p w:rsidR="001D4A3D" w:rsidRPr="000538BF" w:rsidRDefault="001D4A3D" w:rsidP="001D4A3D">
      <w:pPr>
        <w:pStyle w:val="Akapitzlist"/>
        <w:numPr>
          <w:ilvl w:val="0"/>
          <w:numId w:val="26"/>
        </w:numPr>
        <w:spacing w:after="0"/>
        <w:jc w:val="both"/>
        <w:rPr>
          <w:rFonts w:ascii="ScalaSansPro-Regular" w:hAnsi="ScalaSansPro-Regular"/>
        </w:rPr>
      </w:pPr>
      <w:r w:rsidRPr="000538BF">
        <w:rPr>
          <w:rFonts w:ascii="ScalaSansPro-Regular" w:hAnsi="ScalaSansPro-Regular"/>
        </w:rPr>
        <w:t>weryfikacja efektów uczenia się zadeklarowanych przez kandydata,</w:t>
      </w:r>
    </w:p>
    <w:p w:rsidR="001D4A3D" w:rsidRPr="000538BF" w:rsidRDefault="001D4A3D" w:rsidP="001D4A3D">
      <w:pPr>
        <w:pStyle w:val="Akapitzlist"/>
        <w:numPr>
          <w:ilvl w:val="0"/>
          <w:numId w:val="26"/>
        </w:numPr>
        <w:spacing w:after="0"/>
        <w:jc w:val="both"/>
        <w:rPr>
          <w:rFonts w:ascii="ScalaSansPro-Regular" w:hAnsi="ScalaSansPro-Regular"/>
        </w:rPr>
      </w:pPr>
      <w:r w:rsidRPr="000538BF">
        <w:rPr>
          <w:rFonts w:ascii="ScalaSansPro-Regular" w:hAnsi="ScalaSansPro-Regular"/>
        </w:rPr>
        <w:t>weryfikacja uzdolnień artystycznych niezbędnych do przyjęcia na studia.</w:t>
      </w:r>
    </w:p>
    <w:p w:rsidR="001D4A3D" w:rsidRPr="000538BF" w:rsidRDefault="001D4A3D" w:rsidP="001D4A3D">
      <w:pPr>
        <w:pStyle w:val="Akapitzlist"/>
        <w:numPr>
          <w:ilvl w:val="0"/>
          <w:numId w:val="25"/>
        </w:numPr>
        <w:spacing w:after="0"/>
        <w:ind w:left="284" w:hanging="284"/>
        <w:jc w:val="both"/>
        <w:rPr>
          <w:rFonts w:ascii="ScalaSansPro-Regular" w:hAnsi="ScalaSansPro-Regular"/>
        </w:rPr>
      </w:pPr>
      <w:r w:rsidRPr="000538BF">
        <w:rPr>
          <w:rFonts w:ascii="ScalaSansPro-Regular" w:hAnsi="ScalaSansPro-Regular"/>
        </w:rPr>
        <w:t xml:space="preserve">Weryfikacja efektów uczenia się jest dokonywana w zależności od charakteru zadeklarowanych efektów uczenia się podlegających weryfikacji, według wyboru Komisji Wydziałowej – łącznie lub osobno dla każdego z potwierdzanych efektów uczenia się - w szczególności w formie: egzaminu ustnego, egzaminu pisemnego, testu, rozwiązania zadania lub przeprowadzenia prezentacji. </w:t>
      </w:r>
    </w:p>
    <w:p w:rsidR="001D4A3D" w:rsidRPr="000538BF" w:rsidRDefault="001D4A3D" w:rsidP="001D4A3D">
      <w:pPr>
        <w:pStyle w:val="Akapitzlist"/>
        <w:numPr>
          <w:ilvl w:val="0"/>
          <w:numId w:val="25"/>
        </w:numPr>
        <w:spacing w:after="0"/>
        <w:ind w:left="284" w:hanging="284"/>
        <w:jc w:val="both"/>
        <w:rPr>
          <w:rFonts w:ascii="ScalaSansPro-Regular" w:hAnsi="ScalaSansPro-Regular"/>
        </w:rPr>
      </w:pPr>
      <w:r w:rsidRPr="000538BF">
        <w:rPr>
          <w:rFonts w:ascii="ScalaSansPro-Regular" w:hAnsi="ScalaSansPro-Regular"/>
        </w:rPr>
        <w:t>Metody weryfikacji efektów kształcenia dla danego przedmiotu określa zawiadomienie, którym mowa w § 13 ust. 1 pkt 2).</w:t>
      </w:r>
    </w:p>
    <w:p w:rsidR="001D4A3D" w:rsidRPr="000538BF" w:rsidRDefault="001D4A3D" w:rsidP="001D4A3D">
      <w:pPr>
        <w:pStyle w:val="Akapitzlist"/>
        <w:numPr>
          <w:ilvl w:val="0"/>
          <w:numId w:val="25"/>
        </w:numPr>
        <w:spacing w:after="0"/>
        <w:ind w:left="284" w:hanging="284"/>
        <w:jc w:val="both"/>
        <w:rPr>
          <w:rFonts w:ascii="ScalaSansPro-Regular" w:hAnsi="ScalaSansPro-Regular"/>
        </w:rPr>
      </w:pPr>
      <w:r w:rsidRPr="000538BF">
        <w:rPr>
          <w:rFonts w:ascii="ScalaSansPro-Regular" w:hAnsi="ScalaSansPro-Regular"/>
        </w:rPr>
        <w:t xml:space="preserve">Weryfikacja uzdolnień artystycznych niezbędnych do przyjęcia na studia na danym kierunku obejmuje egzaminy z rysunku lub </w:t>
      </w:r>
      <w:r w:rsidR="005E18B2" w:rsidRPr="000538BF">
        <w:rPr>
          <w:rFonts w:ascii="ScalaSansPro-Regular" w:hAnsi="ScalaSansPro-Regular"/>
        </w:rPr>
        <w:t>malarstwa</w:t>
      </w:r>
      <w:r w:rsidRPr="000538BF">
        <w:rPr>
          <w:rFonts w:ascii="ScalaSansPro-Regular" w:hAnsi="ScalaSansPro-Regular"/>
        </w:rPr>
        <w:t xml:space="preserve"> oraz stosownie do kierunku – dodatkowo sprawdzian kierunkowy. Dokładny zakres egzaminów stanowiących weryfikację uzdolnień artystycznych określa zawiadomienie, o którym mowa w § 13 ust. 1 pkt 2).</w:t>
      </w:r>
    </w:p>
    <w:p w:rsidR="001D4A3D" w:rsidRPr="000538BF" w:rsidRDefault="001D4A3D" w:rsidP="001D4A3D">
      <w:pPr>
        <w:pStyle w:val="Akapitzlist"/>
        <w:numPr>
          <w:ilvl w:val="0"/>
          <w:numId w:val="25"/>
        </w:numPr>
        <w:spacing w:after="0"/>
        <w:ind w:left="284" w:hanging="284"/>
        <w:jc w:val="both"/>
        <w:rPr>
          <w:rFonts w:ascii="ScalaSansPro-Regular" w:hAnsi="ScalaSansPro-Regular"/>
        </w:rPr>
      </w:pPr>
      <w:r w:rsidRPr="000538BF">
        <w:rPr>
          <w:rFonts w:ascii="ScalaSansPro-Regular" w:hAnsi="ScalaSansPro-Regular"/>
        </w:rPr>
        <w:t>Rektor może zatwierdzić listę dokumentów (w tym certyfikatów) wydanych przez uznane instytucje zewnętrzne potwierdzających efekty kształcenia w systemie pozaformalnym i zwalniających z weryfikacji efektów uczenia się (uznawalność instytucjonalna) np. certyfikaty potwierdzające znajomość języków obcych.</w:t>
      </w:r>
    </w:p>
    <w:p w:rsidR="001D4A3D" w:rsidRPr="000538BF" w:rsidRDefault="001D4A3D" w:rsidP="001D4A3D">
      <w:pPr>
        <w:spacing w:after="0"/>
        <w:rPr>
          <w:rFonts w:ascii="ScalaSansPro-Regular" w:hAnsi="ScalaSansPro-Regular"/>
        </w:rPr>
      </w:pPr>
    </w:p>
    <w:p w:rsidR="001D4A3D" w:rsidRPr="000538BF" w:rsidRDefault="001D4A3D" w:rsidP="001D4A3D">
      <w:pPr>
        <w:spacing w:after="0"/>
        <w:jc w:val="center"/>
        <w:rPr>
          <w:rFonts w:ascii="ScalaSansPro-Regular" w:hAnsi="ScalaSansPro-Regular"/>
          <w:b/>
        </w:rPr>
      </w:pPr>
      <w:r w:rsidRPr="000538BF">
        <w:rPr>
          <w:rFonts w:ascii="ScalaSansPro-Regular" w:hAnsi="ScalaSansPro-Regular"/>
          <w:b/>
        </w:rPr>
        <w:t>Decyzje i tryb odwoławczy</w:t>
      </w:r>
    </w:p>
    <w:p w:rsidR="001D4A3D" w:rsidRPr="000538BF" w:rsidRDefault="001D4A3D" w:rsidP="001D4A3D">
      <w:pPr>
        <w:spacing w:after="0"/>
        <w:jc w:val="center"/>
        <w:rPr>
          <w:rFonts w:ascii="ScalaSansPro-Regular" w:hAnsi="ScalaSansPro-Regular"/>
        </w:rPr>
      </w:pPr>
    </w:p>
    <w:p w:rsidR="001D4A3D" w:rsidRPr="000538BF" w:rsidRDefault="001D4A3D" w:rsidP="001D4A3D">
      <w:pPr>
        <w:spacing w:after="0"/>
        <w:jc w:val="center"/>
        <w:rPr>
          <w:rFonts w:ascii="ScalaSansPro-Regular" w:hAnsi="ScalaSansPro-Regular"/>
        </w:rPr>
      </w:pPr>
      <w:r w:rsidRPr="000538BF">
        <w:rPr>
          <w:rFonts w:ascii="ScalaSansPro-Regular" w:hAnsi="ScalaSansPro-Regular"/>
        </w:rPr>
        <w:t>§ 15</w:t>
      </w:r>
    </w:p>
    <w:p w:rsidR="001D4A3D" w:rsidRPr="000538BF" w:rsidRDefault="001D4A3D" w:rsidP="001D4A3D">
      <w:pPr>
        <w:pStyle w:val="Akapitzlist"/>
        <w:numPr>
          <w:ilvl w:val="0"/>
          <w:numId w:val="19"/>
        </w:numPr>
        <w:spacing w:after="0"/>
        <w:ind w:left="284" w:hanging="284"/>
        <w:jc w:val="both"/>
        <w:rPr>
          <w:rFonts w:ascii="ScalaSansPro-Regular" w:hAnsi="ScalaSansPro-Regular"/>
        </w:rPr>
      </w:pPr>
      <w:r w:rsidRPr="000538BF">
        <w:rPr>
          <w:rFonts w:ascii="ScalaSansPro-Regular" w:hAnsi="ScalaSansPro-Regular"/>
        </w:rPr>
        <w:t>Po przeprowadzeniu procesu potwierdzania efektów uczenia się, wskazanego w § 14 ust. 1, Komisja Wydziałowa podejmuje decyzję obejmującą rozstrzygnięcia w przedmiocie:</w:t>
      </w:r>
    </w:p>
    <w:p w:rsidR="001D4A3D" w:rsidRPr="000538BF" w:rsidRDefault="001D4A3D" w:rsidP="001D4A3D">
      <w:pPr>
        <w:pStyle w:val="Akapitzlist"/>
        <w:numPr>
          <w:ilvl w:val="0"/>
          <w:numId w:val="27"/>
        </w:numPr>
        <w:spacing w:after="0"/>
        <w:jc w:val="both"/>
        <w:rPr>
          <w:rFonts w:ascii="ScalaSansPro-Regular" w:hAnsi="ScalaSansPro-Regular"/>
        </w:rPr>
      </w:pPr>
      <w:r w:rsidRPr="000538BF">
        <w:rPr>
          <w:rFonts w:ascii="ScalaSansPro-Regular" w:hAnsi="ScalaSansPro-Regular"/>
        </w:rPr>
        <w:t>potwierdzenia efektów uczenia się zadeklarowanych przez kandydata,</w:t>
      </w:r>
    </w:p>
    <w:p w:rsidR="001D4A3D" w:rsidRPr="000538BF" w:rsidRDefault="001D4A3D" w:rsidP="001D4A3D">
      <w:pPr>
        <w:pStyle w:val="Akapitzlist"/>
        <w:numPr>
          <w:ilvl w:val="0"/>
          <w:numId w:val="27"/>
        </w:numPr>
        <w:spacing w:after="0"/>
        <w:jc w:val="both"/>
        <w:rPr>
          <w:rFonts w:ascii="ScalaSansPro-Regular" w:hAnsi="ScalaSansPro-Regular"/>
        </w:rPr>
      </w:pPr>
      <w:r w:rsidRPr="000538BF">
        <w:rPr>
          <w:rFonts w:ascii="ScalaSansPro-Regular" w:hAnsi="ScalaSansPro-Regular"/>
        </w:rPr>
        <w:t xml:space="preserve">zaliczenia określonych przedmiotów i wystawienia oceny, </w:t>
      </w:r>
    </w:p>
    <w:p w:rsidR="001D4A3D" w:rsidRPr="000538BF" w:rsidRDefault="001D4A3D" w:rsidP="001D4A3D">
      <w:pPr>
        <w:pStyle w:val="Akapitzlist"/>
        <w:numPr>
          <w:ilvl w:val="0"/>
          <w:numId w:val="27"/>
        </w:numPr>
        <w:spacing w:after="0"/>
        <w:jc w:val="both"/>
        <w:rPr>
          <w:rFonts w:ascii="ScalaSansPro-Regular" w:hAnsi="ScalaSansPro-Regular"/>
        </w:rPr>
      </w:pPr>
      <w:r w:rsidRPr="000538BF">
        <w:rPr>
          <w:rFonts w:ascii="ScalaSansPro-Regular" w:hAnsi="ScalaSansPro-Regular"/>
        </w:rPr>
        <w:t>przyznania punktów ECTS,</w:t>
      </w:r>
    </w:p>
    <w:p w:rsidR="001D4A3D" w:rsidRPr="000538BF" w:rsidRDefault="001D4A3D" w:rsidP="001D4A3D">
      <w:pPr>
        <w:pStyle w:val="Akapitzlist"/>
        <w:numPr>
          <w:ilvl w:val="0"/>
          <w:numId w:val="27"/>
        </w:numPr>
        <w:spacing w:after="0"/>
        <w:jc w:val="both"/>
        <w:rPr>
          <w:rFonts w:ascii="ScalaSansPro-Regular" w:hAnsi="ScalaSansPro-Regular"/>
        </w:rPr>
      </w:pPr>
      <w:r w:rsidRPr="000538BF">
        <w:rPr>
          <w:rFonts w:ascii="ScalaSansPro-Regular" w:hAnsi="ScalaSansPro-Regular"/>
        </w:rPr>
        <w:t>przyjęcia na studia,</w:t>
      </w:r>
    </w:p>
    <w:p w:rsidR="001D4A3D" w:rsidRPr="000538BF" w:rsidRDefault="001D4A3D" w:rsidP="001D4A3D">
      <w:pPr>
        <w:pStyle w:val="Akapitzlist"/>
        <w:numPr>
          <w:ilvl w:val="0"/>
          <w:numId w:val="27"/>
        </w:numPr>
        <w:spacing w:after="0"/>
        <w:jc w:val="both"/>
        <w:rPr>
          <w:rFonts w:ascii="ScalaSansPro-Regular" w:hAnsi="ScalaSansPro-Regular"/>
        </w:rPr>
      </w:pPr>
      <w:r w:rsidRPr="000538BF">
        <w:rPr>
          <w:rFonts w:ascii="ScalaSansPro-Regular" w:hAnsi="ScalaSansPro-Regular"/>
        </w:rPr>
        <w:t>określenia długości trwania studiów.</w:t>
      </w:r>
    </w:p>
    <w:p w:rsidR="001D4A3D" w:rsidRPr="000538BF" w:rsidRDefault="001D4A3D" w:rsidP="001D4A3D">
      <w:pPr>
        <w:pStyle w:val="Akapitzlist"/>
        <w:numPr>
          <w:ilvl w:val="0"/>
          <w:numId w:val="19"/>
        </w:numPr>
        <w:spacing w:after="0"/>
        <w:ind w:left="284" w:hanging="284"/>
        <w:jc w:val="both"/>
        <w:rPr>
          <w:rFonts w:ascii="ScalaSansPro-Regular" w:hAnsi="ScalaSansPro-Regular"/>
        </w:rPr>
      </w:pPr>
      <w:r w:rsidRPr="000538BF">
        <w:rPr>
          <w:rFonts w:ascii="ScalaSansPro-Regular" w:hAnsi="ScalaSansPro-Regular"/>
        </w:rPr>
        <w:t>W zakresie, o którym mowa w ust. 1 pkt 1) Komisja Wydziałowa wskazuje, które efekty uczenia się spośród zadeklarowanych we wniosku kandydata zostają potwierdzone, a potwierdzenia których efektów uczenia się Komisja Wydziałowa odmawia.</w:t>
      </w:r>
    </w:p>
    <w:p w:rsidR="001D4A3D" w:rsidRPr="000538BF" w:rsidRDefault="001D4A3D" w:rsidP="001D4A3D">
      <w:pPr>
        <w:pStyle w:val="Akapitzlist"/>
        <w:numPr>
          <w:ilvl w:val="0"/>
          <w:numId w:val="19"/>
        </w:numPr>
        <w:spacing w:after="0"/>
        <w:ind w:left="284" w:hanging="284"/>
        <w:jc w:val="both"/>
        <w:rPr>
          <w:rFonts w:ascii="ScalaSansPro-Regular" w:hAnsi="ScalaSansPro-Regular"/>
        </w:rPr>
      </w:pPr>
      <w:r w:rsidRPr="000538BF">
        <w:rPr>
          <w:rFonts w:ascii="ScalaSansPro-Regular" w:hAnsi="ScalaSansPro-Regular"/>
        </w:rPr>
        <w:t>W wypadku potwierdzenia choćby jednego efektu uczenia się, decyzja obejmuje rozstrzygnięcie w zakresie, o którym mowa w ust. 1 pkt 2), w którym Komisja Wydziałowa wskazuje, które przedmioty spośród objętych wnioskiem kandydata uznaje się za zaliczone w związku z potwierdzeniem efektów uczenia się i wystawia ocenę lub stwierdza brak zaliczenia przedmiotu.</w:t>
      </w:r>
    </w:p>
    <w:p w:rsidR="001D4A3D" w:rsidRPr="000538BF" w:rsidRDefault="001D4A3D" w:rsidP="001D4A3D">
      <w:pPr>
        <w:pStyle w:val="Akapitzlist"/>
        <w:numPr>
          <w:ilvl w:val="0"/>
          <w:numId w:val="19"/>
        </w:numPr>
        <w:spacing w:after="0"/>
        <w:ind w:left="284" w:hanging="284"/>
        <w:jc w:val="both"/>
        <w:rPr>
          <w:rFonts w:ascii="ScalaSansPro-Regular" w:hAnsi="ScalaSansPro-Regular"/>
        </w:rPr>
      </w:pPr>
      <w:r w:rsidRPr="000538BF">
        <w:rPr>
          <w:rFonts w:ascii="ScalaSansPro-Regular" w:hAnsi="ScalaSansPro-Regular"/>
        </w:rPr>
        <w:t>Zaliczenie danego przedmiotu następuje wyłącznie w przypadku potwierdzenia efektów uczenia się w odniesieniu do wszystkich odpowiadających im efektów kształcenia zdefiniowanych dla tego przedmiotu w treści listy, o której mowa w § 4 ust. 4.</w:t>
      </w:r>
    </w:p>
    <w:p w:rsidR="001D4A3D" w:rsidRPr="000538BF" w:rsidRDefault="001D4A3D" w:rsidP="001D4A3D">
      <w:pPr>
        <w:pStyle w:val="Akapitzlist"/>
        <w:numPr>
          <w:ilvl w:val="0"/>
          <w:numId w:val="19"/>
        </w:numPr>
        <w:spacing w:after="0"/>
        <w:ind w:left="284" w:hanging="284"/>
        <w:jc w:val="both"/>
        <w:rPr>
          <w:rFonts w:ascii="ScalaSansPro-Regular" w:hAnsi="ScalaSansPro-Regular"/>
        </w:rPr>
      </w:pPr>
      <w:r w:rsidRPr="000538BF">
        <w:rPr>
          <w:rFonts w:ascii="ScalaSansPro-Regular" w:hAnsi="ScalaSansPro-Regular"/>
        </w:rPr>
        <w:t xml:space="preserve">Ocena wystawiana jest zgodnie ze skalą ocen określoną w Regulaminie studiów. </w:t>
      </w:r>
    </w:p>
    <w:p w:rsidR="001D4A3D" w:rsidRPr="000538BF" w:rsidRDefault="001D4A3D" w:rsidP="001D4A3D">
      <w:pPr>
        <w:pStyle w:val="Akapitzlist"/>
        <w:numPr>
          <w:ilvl w:val="0"/>
          <w:numId w:val="19"/>
        </w:numPr>
        <w:spacing w:after="0"/>
        <w:ind w:left="284" w:hanging="284"/>
        <w:jc w:val="both"/>
        <w:rPr>
          <w:rFonts w:ascii="ScalaSansPro-Regular" w:hAnsi="ScalaSansPro-Regular"/>
        </w:rPr>
      </w:pPr>
      <w:r w:rsidRPr="000538BF">
        <w:rPr>
          <w:rFonts w:ascii="ScalaSansPro-Regular" w:hAnsi="ScalaSansPro-Regular"/>
        </w:rPr>
        <w:lastRenderedPageBreak/>
        <w:t>W wypadku zaliczenia choćby jednego przedmiotu, decyzja obejmuje rozstrzygnięcie w zakresie, o którym mowa w ust. 1 pkt 3), w którym Komisja Wydziałowa wskazuje, liczbę punktów ECTS przyznanych w związku z zaliczeniem przedmiotów – przyporządkowaną do tych przedmiotów, z zastrzeżeniem ust. 7.</w:t>
      </w:r>
    </w:p>
    <w:p w:rsidR="001D4A3D" w:rsidRPr="000538BF" w:rsidRDefault="001D4A3D" w:rsidP="001D4A3D">
      <w:pPr>
        <w:pStyle w:val="Akapitzlist"/>
        <w:numPr>
          <w:ilvl w:val="0"/>
          <w:numId w:val="19"/>
        </w:numPr>
        <w:spacing w:after="0"/>
        <w:ind w:left="284" w:hanging="284"/>
        <w:jc w:val="both"/>
        <w:rPr>
          <w:rFonts w:ascii="ScalaSansPro-Regular" w:hAnsi="ScalaSansPro-Regular"/>
        </w:rPr>
      </w:pPr>
      <w:r w:rsidRPr="000538BF">
        <w:rPr>
          <w:rFonts w:ascii="ScalaSansPro-Regular" w:hAnsi="ScalaSansPro-Regular"/>
        </w:rPr>
        <w:t>W wyniku potwierdzania efektów uczenia się można zaliczyć kandydatowi nie więcej niż 50% punktów ECTS, przypisanych do danego programu kształcenia określonego kierunku, poziomu i profilu kształcenia. W wypadku, gdy na skutek zaliczenia wielu przedmiotów liczba przypisanych im punktów ECTS przekracza opisany wyżej limit, wówczas kandydatowi przyznaje się punkty w liczbie dopuszczalnej - zmniejszonej o punkty za przedmiot zaliczony o najmniejszej liczbie niezbędnej do uniknięcia przekroczenia limitu.</w:t>
      </w:r>
    </w:p>
    <w:p w:rsidR="001D4A3D" w:rsidRPr="000538BF" w:rsidRDefault="001D4A3D" w:rsidP="001D4A3D">
      <w:pPr>
        <w:pStyle w:val="Akapitzlist"/>
        <w:numPr>
          <w:ilvl w:val="0"/>
          <w:numId w:val="19"/>
        </w:numPr>
        <w:spacing w:after="0"/>
        <w:ind w:left="284" w:hanging="284"/>
        <w:jc w:val="both"/>
        <w:rPr>
          <w:rFonts w:ascii="ScalaSansPro-Regular" w:hAnsi="ScalaSansPro-Regular"/>
        </w:rPr>
      </w:pPr>
      <w:r w:rsidRPr="000538BF">
        <w:rPr>
          <w:rFonts w:ascii="ScalaSansPro-Regular" w:hAnsi="ScalaSansPro-Regular"/>
        </w:rPr>
        <w:t>W wypadku, o którym mowa w ust. 7 zd. 2 decyzja określa odrębnie, który przedmiot nie zostaje zaliczony kandydatowi w związku z przekroczeniem wskazanego limitu. W wypadku, gdy ze względu na równą liczbę punktów ECTS możliwe jest dokonanie wyboru więcej niż jednego (jednej konfiguracji) przedmiotu nie podlegającego zaliczeniu ze względu na limit, kandydat ma możliwość wskazania takiego przedmiotu we wniosku, w wypadku, gdy jego treść wskazuje na prawdopodobieństwo przekroczenia limitu. W przeciwnym wypadku, o wyborze przedmiotu decyduje Komisja Wydziałowa.</w:t>
      </w:r>
    </w:p>
    <w:p w:rsidR="001D4A3D" w:rsidRPr="000538BF" w:rsidRDefault="001D4A3D" w:rsidP="001D4A3D">
      <w:pPr>
        <w:pStyle w:val="Akapitzlist"/>
        <w:numPr>
          <w:ilvl w:val="0"/>
          <w:numId w:val="19"/>
        </w:numPr>
        <w:spacing w:after="0"/>
        <w:ind w:left="284" w:hanging="284"/>
        <w:jc w:val="both"/>
        <w:rPr>
          <w:rFonts w:ascii="ScalaSansPro-Regular" w:hAnsi="ScalaSansPro-Regular"/>
        </w:rPr>
      </w:pPr>
      <w:r w:rsidRPr="000538BF">
        <w:rPr>
          <w:rFonts w:ascii="ScalaSansPro-Regular" w:hAnsi="ScalaSansPro-Regular"/>
        </w:rPr>
        <w:t>W wypadku potwierdzenia choćby jednego efektu uczenia się, decyzja obejmuje rozstrzygnięcie w zakresie, o którym mowa w ust. 1 pkt 4), w którym Komisja Wydziałowa stwierdza przyjęcie kandydata na studia na określonym kierunku, poziomie i profilu kształcenia zgodnym z treścią wniosku lub odmawia przyjęcia na studia.</w:t>
      </w:r>
    </w:p>
    <w:p w:rsidR="001D4A3D" w:rsidRPr="000538BF" w:rsidRDefault="001D4A3D" w:rsidP="001D4A3D">
      <w:pPr>
        <w:pStyle w:val="Akapitzlist"/>
        <w:numPr>
          <w:ilvl w:val="0"/>
          <w:numId w:val="19"/>
        </w:numPr>
        <w:spacing w:after="0"/>
        <w:ind w:left="284" w:hanging="284"/>
        <w:jc w:val="both"/>
        <w:rPr>
          <w:rFonts w:ascii="ScalaSansPro-Regular" w:hAnsi="ScalaSansPro-Regular"/>
        </w:rPr>
      </w:pPr>
      <w:r w:rsidRPr="000538BF">
        <w:rPr>
          <w:rFonts w:ascii="ScalaSansPro-Regular" w:hAnsi="ScalaSansPro-Regular"/>
        </w:rPr>
        <w:t>W wyniku procesu potwierdzania efektów uczenia się na studia na określonym kierunku, poziomie i profilu kształcenia zgodnym z wnioskiem mogą zostać przyjęci kandydaci, którzy uzyskali zaliczenie choćby jednego przedmiotu oraz otrzymali pozytywną ocenę weryfikacji uzdolnień artystycznych niezbędnych do przyjęcia na studia, o której mowa w § 14 ust. 1 pkt. 2), a także uplasowali się wśród najlepszych kandydatów na danym kierunku.</w:t>
      </w:r>
    </w:p>
    <w:p w:rsidR="001D4A3D" w:rsidRPr="000538BF" w:rsidRDefault="001D4A3D" w:rsidP="001D4A3D">
      <w:pPr>
        <w:pStyle w:val="Akapitzlist"/>
        <w:numPr>
          <w:ilvl w:val="0"/>
          <w:numId w:val="19"/>
        </w:numPr>
        <w:spacing w:after="0"/>
        <w:ind w:left="284" w:hanging="284"/>
        <w:jc w:val="both"/>
        <w:rPr>
          <w:rFonts w:ascii="ScalaSansPro-Regular" w:hAnsi="ScalaSansPro-Regular"/>
        </w:rPr>
      </w:pPr>
      <w:r w:rsidRPr="000538BF">
        <w:rPr>
          <w:rFonts w:ascii="ScalaSansPro-Regular" w:hAnsi="ScalaSansPro-Regular"/>
        </w:rPr>
        <w:t>Pozytywna ocena weryfikacji uzdolnień artystycznych niezbędnych do przyjęcia na studia, o której mowa w § 14 ust. 1 pkt. 2), wymaga uzyskania pozytywnej oceny z każdego ze sprawdzianów przeprowadzonych w jej ramach.</w:t>
      </w:r>
    </w:p>
    <w:p w:rsidR="001D4A3D" w:rsidRPr="000538BF" w:rsidRDefault="001D4A3D" w:rsidP="001D4A3D">
      <w:pPr>
        <w:pStyle w:val="Akapitzlist"/>
        <w:numPr>
          <w:ilvl w:val="0"/>
          <w:numId w:val="19"/>
        </w:numPr>
        <w:spacing w:after="0"/>
        <w:ind w:left="284" w:hanging="284"/>
        <w:jc w:val="both"/>
        <w:rPr>
          <w:rFonts w:ascii="ScalaSansPro-Regular" w:hAnsi="ScalaSansPro-Regular"/>
        </w:rPr>
      </w:pPr>
      <w:r w:rsidRPr="000538BF">
        <w:rPr>
          <w:rFonts w:ascii="ScalaSansPro-Regular" w:hAnsi="ScalaSansPro-Regular"/>
        </w:rPr>
        <w:t>Liczba studentów na danym kierunku, poziomie i profilu kształcenia, którzy mogą być przyjęci na studia na podstawie najlepszych wyników uzyskanych w wyniku potwierdzenia efektów uczenia się, nie może być większa niż 10% ogólnej liczby studentów przyjętych na pierwszy rok studiów na tym kierunku, poziomie i profilu kształcenia w poprzednim roku akademickim.</w:t>
      </w:r>
    </w:p>
    <w:p w:rsidR="001D4A3D" w:rsidRPr="000538BF" w:rsidRDefault="001D4A3D" w:rsidP="001D4A3D">
      <w:pPr>
        <w:pStyle w:val="Akapitzlist"/>
        <w:numPr>
          <w:ilvl w:val="0"/>
          <w:numId w:val="19"/>
        </w:numPr>
        <w:spacing w:after="0"/>
        <w:ind w:left="284" w:hanging="284"/>
        <w:jc w:val="both"/>
        <w:rPr>
          <w:rFonts w:ascii="ScalaSansPro-Regular" w:hAnsi="ScalaSansPro-Regular"/>
        </w:rPr>
      </w:pPr>
      <w:r w:rsidRPr="000538BF">
        <w:rPr>
          <w:rFonts w:ascii="ScalaSansPro-Regular" w:hAnsi="ScalaSansPro-Regular"/>
        </w:rPr>
        <w:t>Kolejność kandydatów na liście najlepszych kandydatów na danym kierunku, poziomie i profilu kształcenia ustala się na podstawie średniej ocen ze wszystkich zaliczonych przedmiotów, a w razie równej ilości punktów, w dalszej kolejności w oparciu o liczbę przyznanych punktów ECTS, liczbę zaliczonych przedmiotów, liczbę potwierdzonych efektów.</w:t>
      </w:r>
    </w:p>
    <w:p w:rsidR="001D4A3D" w:rsidRPr="000538BF" w:rsidRDefault="001D4A3D" w:rsidP="001D4A3D">
      <w:pPr>
        <w:pStyle w:val="Akapitzlist"/>
        <w:numPr>
          <w:ilvl w:val="0"/>
          <w:numId w:val="19"/>
        </w:numPr>
        <w:spacing w:after="0"/>
        <w:ind w:left="284" w:hanging="284"/>
        <w:jc w:val="both"/>
        <w:rPr>
          <w:rFonts w:ascii="ScalaSansPro-Regular" w:hAnsi="ScalaSansPro-Regular"/>
        </w:rPr>
      </w:pPr>
      <w:r w:rsidRPr="000538BF">
        <w:rPr>
          <w:rFonts w:ascii="ScalaSansPro-Regular" w:hAnsi="ScalaSansPro-Regular"/>
        </w:rPr>
        <w:t>W wypadku przyjęcia kandydata na studia na podstawie najlepszych wyników potwierdzania efektów uczenia się, decyzja obejmuje rozstrzygnięcie w zakresie, o którym mowa w ust. 1 pkt 5), w którym Komisja Wydziałowa uwzględniając ilość i charakter zaliczonych przedmiotów określa długość trwania studiów kandydata.</w:t>
      </w:r>
    </w:p>
    <w:p w:rsidR="001D4A3D" w:rsidRPr="000538BF" w:rsidRDefault="001D4A3D" w:rsidP="001D4A3D">
      <w:pPr>
        <w:pStyle w:val="Akapitzlist"/>
        <w:numPr>
          <w:ilvl w:val="0"/>
          <w:numId w:val="19"/>
        </w:numPr>
        <w:spacing w:after="0"/>
        <w:ind w:left="284" w:hanging="284"/>
        <w:jc w:val="both"/>
        <w:rPr>
          <w:rFonts w:ascii="ScalaSansPro-Regular" w:hAnsi="ScalaSansPro-Regular"/>
        </w:rPr>
      </w:pPr>
      <w:r w:rsidRPr="000538BF">
        <w:rPr>
          <w:rFonts w:ascii="ScalaSansPro-Regular" w:hAnsi="ScalaSansPro-Regular"/>
        </w:rPr>
        <w:t xml:space="preserve">Komisja Wydziałowa może zdecydować o skróceniu czasu trwania studiów albo zdecydować o nieskracaniu okresu trwania studiów, co skutkuje zmniejszeniem natężenia zajęć na poszczególnych latach studiów. </w:t>
      </w:r>
    </w:p>
    <w:p w:rsidR="001D4A3D" w:rsidRPr="000538BF" w:rsidRDefault="001D4A3D" w:rsidP="001D4A3D">
      <w:pPr>
        <w:pStyle w:val="Akapitzlist"/>
        <w:numPr>
          <w:ilvl w:val="0"/>
          <w:numId w:val="19"/>
        </w:numPr>
        <w:spacing w:after="0"/>
        <w:ind w:left="284" w:hanging="284"/>
        <w:jc w:val="both"/>
        <w:rPr>
          <w:rFonts w:ascii="ScalaSansPro-Regular" w:hAnsi="ScalaSansPro-Regular"/>
        </w:rPr>
      </w:pPr>
      <w:r w:rsidRPr="000538BF">
        <w:rPr>
          <w:rFonts w:ascii="ScalaSansPro-Regular" w:hAnsi="ScalaSansPro-Regular"/>
        </w:rPr>
        <w:lastRenderedPageBreak/>
        <w:t xml:space="preserve">W przypadku nieusprawiedliwionej nieobecności kandydata w którymkolwiek z wyznaczonych terminów przeznaczonych na egzaminy w ramach potwierdzania efektów uczenia się Komisja Wydziałowa wydaje decyzję o odmowie potwierdzenia efektów uczenia się. </w:t>
      </w:r>
    </w:p>
    <w:p w:rsidR="001D4A3D" w:rsidRPr="000538BF" w:rsidRDefault="001D4A3D" w:rsidP="001D4A3D">
      <w:pPr>
        <w:pStyle w:val="Akapitzlist"/>
        <w:numPr>
          <w:ilvl w:val="0"/>
          <w:numId w:val="19"/>
        </w:numPr>
        <w:spacing w:after="0"/>
        <w:ind w:left="284" w:hanging="284"/>
        <w:jc w:val="both"/>
        <w:rPr>
          <w:rFonts w:ascii="ScalaSansPro-Regular" w:hAnsi="ScalaSansPro-Regular"/>
        </w:rPr>
      </w:pPr>
      <w:r w:rsidRPr="000538BF">
        <w:rPr>
          <w:rFonts w:ascii="ScalaSansPro-Regular" w:hAnsi="ScalaSansPro-Regular"/>
        </w:rPr>
        <w:t>W przypadku usprawiedliwionej nieobecności kandydata w którymkolwiek z wyznaczonych terminów przeznaczonych na egzaminy w ramach potwierdzania efektów uczenia się kandydat jest obowiązany niezwłocznie poinformować Komisję Wydziałową o przyczynach nieobecności i przedstawić dowód potwierdzający przedstawione usprawiedliwienie nieobecności. W wypadku uznania nieobecności za usprawiedliwioną Komisja Wydziałowa jednorazowo wyznacza dodatkowy termin.</w:t>
      </w:r>
    </w:p>
    <w:p w:rsidR="001D4A3D" w:rsidRPr="000538BF" w:rsidRDefault="001D4A3D" w:rsidP="001D4A3D">
      <w:pPr>
        <w:pStyle w:val="Akapitzlist"/>
        <w:numPr>
          <w:ilvl w:val="0"/>
          <w:numId w:val="19"/>
        </w:numPr>
        <w:spacing w:after="0"/>
        <w:ind w:left="284" w:hanging="284"/>
        <w:jc w:val="both"/>
        <w:rPr>
          <w:rFonts w:ascii="ScalaSansPro-Regular" w:hAnsi="ScalaSansPro-Regular"/>
        </w:rPr>
      </w:pPr>
      <w:r w:rsidRPr="000538BF">
        <w:rPr>
          <w:rFonts w:ascii="ScalaSansPro-Regular" w:hAnsi="ScalaSansPro-Regular"/>
        </w:rPr>
        <w:t>Możliwość wyznaczenia dodatkowego terminu, o której mowa w ust. 17 nie dotyczy egzaminów przeprowadzanych łącznie dla większej liczby kandydatów ubiegających się o przyjęcie na ten sam kierunek, poziom i profil studiów.</w:t>
      </w:r>
    </w:p>
    <w:p w:rsidR="001D4A3D" w:rsidRPr="000538BF" w:rsidRDefault="001D4A3D" w:rsidP="001D4A3D">
      <w:pPr>
        <w:spacing w:after="0"/>
        <w:rPr>
          <w:rFonts w:ascii="ScalaSansPro-Regular" w:hAnsi="ScalaSansPro-Regular"/>
        </w:rPr>
      </w:pPr>
    </w:p>
    <w:p w:rsidR="001D4A3D" w:rsidRPr="000538BF" w:rsidRDefault="001D4A3D" w:rsidP="001D4A3D">
      <w:pPr>
        <w:spacing w:after="0"/>
        <w:jc w:val="center"/>
        <w:rPr>
          <w:rFonts w:ascii="ScalaSansPro-Regular" w:hAnsi="ScalaSansPro-Regular"/>
        </w:rPr>
      </w:pPr>
      <w:r w:rsidRPr="000538BF">
        <w:rPr>
          <w:rFonts w:ascii="ScalaSansPro-Regular" w:hAnsi="ScalaSansPro-Regular"/>
        </w:rPr>
        <w:t>§ 16</w:t>
      </w:r>
    </w:p>
    <w:p w:rsidR="001D4A3D" w:rsidRPr="000538BF" w:rsidRDefault="001D4A3D" w:rsidP="001D4A3D">
      <w:pPr>
        <w:pStyle w:val="Akapitzlist"/>
        <w:numPr>
          <w:ilvl w:val="0"/>
          <w:numId w:val="20"/>
        </w:numPr>
        <w:spacing w:after="0"/>
        <w:ind w:left="284" w:hanging="284"/>
        <w:jc w:val="both"/>
        <w:rPr>
          <w:rFonts w:ascii="ScalaSansPro-Regular" w:hAnsi="ScalaSansPro-Regular"/>
        </w:rPr>
      </w:pPr>
      <w:r w:rsidRPr="000538BF">
        <w:rPr>
          <w:rFonts w:ascii="ScalaSansPro-Regular" w:hAnsi="ScalaSansPro-Regular"/>
        </w:rPr>
        <w:t>Decyzje Komisji Wydziałowych zawierają poza rozstrzygnięciem także: nazwę organu, numer i datę decyzji, adresata decyzji (imię, nazwisko i adres oraz numer nadany kandydatowi), a także uzasadnienie oraz pouczenie w przedmiocie możliwości zaskarżenia.</w:t>
      </w:r>
    </w:p>
    <w:p w:rsidR="001D4A3D" w:rsidRPr="000538BF" w:rsidRDefault="001D4A3D" w:rsidP="001D4A3D">
      <w:pPr>
        <w:pStyle w:val="Akapitzlist"/>
        <w:numPr>
          <w:ilvl w:val="0"/>
          <w:numId w:val="20"/>
        </w:numPr>
        <w:spacing w:after="0"/>
        <w:ind w:left="284" w:hanging="284"/>
        <w:jc w:val="both"/>
        <w:rPr>
          <w:rFonts w:ascii="ScalaSansPro-Regular" w:hAnsi="ScalaSansPro-Regular"/>
        </w:rPr>
      </w:pPr>
      <w:r w:rsidRPr="000538BF">
        <w:rPr>
          <w:rFonts w:ascii="ScalaSansPro-Regular" w:hAnsi="ScalaSansPro-Regular"/>
        </w:rPr>
        <w:t>Decyzje Komisji Wydziałowych zapadają w formie uchwał podejmowanych zwykłą większością głosów.</w:t>
      </w:r>
    </w:p>
    <w:p w:rsidR="001D4A3D" w:rsidRPr="000538BF" w:rsidRDefault="001D4A3D" w:rsidP="001D4A3D">
      <w:pPr>
        <w:pStyle w:val="Akapitzlist"/>
        <w:numPr>
          <w:ilvl w:val="0"/>
          <w:numId w:val="20"/>
        </w:numPr>
        <w:spacing w:after="0"/>
        <w:ind w:left="284" w:hanging="284"/>
        <w:jc w:val="both"/>
        <w:rPr>
          <w:rFonts w:ascii="ScalaSansPro-Regular" w:hAnsi="ScalaSansPro-Regular"/>
        </w:rPr>
      </w:pPr>
      <w:r w:rsidRPr="000538BF">
        <w:rPr>
          <w:rFonts w:ascii="ScalaSansPro-Regular" w:hAnsi="ScalaSansPro-Regular"/>
        </w:rPr>
        <w:t>Decyzje podpisywane są przez Przewodniczącego Komisji Wydziałowej i doręczane kandydatowi na piśmie – bezpośrednio lub pocztą za zwrotnym potwierdzeniem odbioru, wraz z projektem umowy o warunkach odpłatności za studia, o której mowa w art. 160a ustawy. Podpisane egzemplarze umowy kandydat dostarcza do końca maja</w:t>
      </w:r>
      <w:r w:rsidR="000E7FCF" w:rsidRPr="000538BF">
        <w:rPr>
          <w:rFonts w:ascii="ScalaSansPro-Regular" w:hAnsi="ScalaSansPro-Regular"/>
        </w:rPr>
        <w:t xml:space="preserve"> </w:t>
      </w:r>
      <w:r w:rsidRPr="000538BF">
        <w:rPr>
          <w:rFonts w:ascii="ScalaSansPro-Regular" w:hAnsi="ScalaSansPro-Regular"/>
        </w:rPr>
        <w:t>w roku akademickim poprzedzającym rok rozpoczęcia studiów w wyniku potwierdzenia efektów uczenia się.</w:t>
      </w:r>
    </w:p>
    <w:p w:rsidR="001D4A3D" w:rsidRPr="000538BF" w:rsidRDefault="001D4A3D" w:rsidP="001D4A3D">
      <w:pPr>
        <w:pStyle w:val="Akapitzlist"/>
        <w:numPr>
          <w:ilvl w:val="0"/>
          <w:numId w:val="20"/>
        </w:numPr>
        <w:spacing w:after="0"/>
        <w:ind w:left="284" w:hanging="284"/>
        <w:jc w:val="both"/>
        <w:rPr>
          <w:rFonts w:ascii="ScalaSansPro-Regular" w:hAnsi="ScalaSansPro-Regular"/>
        </w:rPr>
      </w:pPr>
      <w:r w:rsidRPr="000538BF">
        <w:rPr>
          <w:rFonts w:ascii="ScalaSansPro-Regular" w:hAnsi="ScalaSansPro-Regular"/>
        </w:rPr>
        <w:t xml:space="preserve">Kandydatowi przysługuje odwołanie się do Komisji Uczelnianej w terminie 14 dni od dnia doręczenia decyzji. Do zachowania terminu wystarczające jest nadanie przesyłki pocztą w wyżej wymienionym terminie. </w:t>
      </w:r>
    </w:p>
    <w:p w:rsidR="001D4A3D" w:rsidRPr="000538BF" w:rsidRDefault="001D4A3D" w:rsidP="001D4A3D">
      <w:pPr>
        <w:pStyle w:val="Akapitzlist"/>
        <w:numPr>
          <w:ilvl w:val="0"/>
          <w:numId w:val="20"/>
        </w:numPr>
        <w:spacing w:after="0"/>
        <w:ind w:left="284" w:hanging="284"/>
        <w:jc w:val="both"/>
        <w:rPr>
          <w:rFonts w:ascii="ScalaSansPro-Regular" w:hAnsi="ScalaSansPro-Regular"/>
        </w:rPr>
      </w:pPr>
      <w:r w:rsidRPr="000538BF">
        <w:rPr>
          <w:rFonts w:ascii="ScalaSansPro-Regular" w:hAnsi="ScalaSansPro-Regular"/>
        </w:rPr>
        <w:t>Podstawą odwołania może być jedynie naruszenie warunków i trybu potwierdzania efektów uczenia się ustalonych w ustawie oraz niniejszym Regulaminie.</w:t>
      </w:r>
    </w:p>
    <w:p w:rsidR="001D4A3D" w:rsidRPr="000538BF" w:rsidRDefault="001D4A3D" w:rsidP="001D4A3D">
      <w:pPr>
        <w:pStyle w:val="Akapitzlist"/>
        <w:numPr>
          <w:ilvl w:val="0"/>
          <w:numId w:val="20"/>
        </w:numPr>
        <w:spacing w:after="0"/>
        <w:ind w:left="284" w:hanging="284"/>
        <w:jc w:val="both"/>
        <w:rPr>
          <w:rFonts w:ascii="ScalaSansPro-Regular" w:hAnsi="ScalaSansPro-Regular"/>
        </w:rPr>
      </w:pPr>
      <w:r w:rsidRPr="000538BF">
        <w:rPr>
          <w:rFonts w:ascii="ScalaSansPro-Regular" w:hAnsi="ScalaSansPro-Regular"/>
        </w:rPr>
        <w:t xml:space="preserve">Komisja Uczelniana podejmuje decyzję w terminie 21 dni od dnia wniesienia odwołania. </w:t>
      </w:r>
    </w:p>
    <w:p w:rsidR="001D4A3D" w:rsidRPr="000538BF" w:rsidRDefault="001D4A3D" w:rsidP="001D4A3D">
      <w:pPr>
        <w:pStyle w:val="Akapitzlist"/>
        <w:numPr>
          <w:ilvl w:val="0"/>
          <w:numId w:val="20"/>
        </w:numPr>
        <w:spacing w:after="0"/>
        <w:ind w:left="284" w:hanging="284"/>
        <w:jc w:val="both"/>
        <w:rPr>
          <w:rFonts w:ascii="ScalaSansPro-Regular" w:hAnsi="ScalaSansPro-Regular"/>
        </w:rPr>
      </w:pPr>
      <w:r w:rsidRPr="000538BF">
        <w:rPr>
          <w:rFonts w:ascii="ScalaSansPro-Regular" w:hAnsi="ScalaSansPro-Regular"/>
        </w:rPr>
        <w:t>Komisja Uczelniana w wyniku rozpoznania odwołania:</w:t>
      </w:r>
    </w:p>
    <w:p w:rsidR="001D4A3D" w:rsidRPr="000538BF" w:rsidRDefault="001D4A3D" w:rsidP="001D4A3D">
      <w:pPr>
        <w:pStyle w:val="Akapitzlist"/>
        <w:numPr>
          <w:ilvl w:val="0"/>
          <w:numId w:val="28"/>
        </w:numPr>
        <w:spacing w:after="0"/>
        <w:jc w:val="both"/>
        <w:rPr>
          <w:rFonts w:ascii="ScalaSansPro-Regular" w:hAnsi="ScalaSansPro-Regular"/>
        </w:rPr>
      </w:pPr>
      <w:r w:rsidRPr="000538BF">
        <w:rPr>
          <w:rFonts w:ascii="ScalaSansPro-Regular" w:hAnsi="ScalaSansPro-Regular"/>
        </w:rPr>
        <w:t>utrzymuje w mocy zaskarżoną decyzję, albo</w:t>
      </w:r>
    </w:p>
    <w:p w:rsidR="001D4A3D" w:rsidRPr="000538BF" w:rsidRDefault="001D4A3D" w:rsidP="001D4A3D">
      <w:pPr>
        <w:pStyle w:val="Akapitzlist"/>
        <w:numPr>
          <w:ilvl w:val="0"/>
          <w:numId w:val="28"/>
        </w:numPr>
        <w:spacing w:after="0"/>
        <w:jc w:val="both"/>
        <w:rPr>
          <w:rFonts w:ascii="ScalaSansPro-Regular" w:hAnsi="ScalaSansPro-Regular"/>
        </w:rPr>
      </w:pPr>
      <w:r w:rsidRPr="000538BF">
        <w:rPr>
          <w:rFonts w:ascii="ScalaSansPro-Regular" w:hAnsi="ScalaSansPro-Regular"/>
        </w:rPr>
        <w:t>zmienia zaskarżoną decyzję,</w:t>
      </w:r>
    </w:p>
    <w:p w:rsidR="001D4A3D" w:rsidRPr="000538BF" w:rsidRDefault="001D4A3D" w:rsidP="001D4A3D">
      <w:pPr>
        <w:pStyle w:val="Akapitzlist"/>
        <w:numPr>
          <w:ilvl w:val="0"/>
          <w:numId w:val="28"/>
        </w:numPr>
        <w:spacing w:after="0"/>
        <w:jc w:val="both"/>
        <w:rPr>
          <w:rFonts w:ascii="ScalaSansPro-Regular" w:hAnsi="ScalaSansPro-Regular"/>
        </w:rPr>
      </w:pPr>
      <w:r w:rsidRPr="000538BF">
        <w:rPr>
          <w:rFonts w:ascii="ScalaSansPro-Regular" w:hAnsi="ScalaSansPro-Regular"/>
        </w:rPr>
        <w:t>uchyla zaskarżoną decyzję i kieruje sprawę do ponownego rozpoznania przez Komisję Wydziałową.</w:t>
      </w:r>
    </w:p>
    <w:p w:rsidR="001D4A3D" w:rsidRPr="000538BF" w:rsidRDefault="001D4A3D" w:rsidP="001D4A3D">
      <w:pPr>
        <w:pStyle w:val="Akapitzlist"/>
        <w:numPr>
          <w:ilvl w:val="0"/>
          <w:numId w:val="20"/>
        </w:numPr>
        <w:spacing w:after="0"/>
        <w:ind w:left="284" w:hanging="284"/>
        <w:jc w:val="both"/>
        <w:rPr>
          <w:rFonts w:ascii="ScalaSansPro-Regular" w:hAnsi="ScalaSansPro-Regular"/>
        </w:rPr>
      </w:pPr>
      <w:r w:rsidRPr="000538BF">
        <w:rPr>
          <w:rFonts w:ascii="ScalaSansPro-Regular" w:hAnsi="ScalaSansPro-Regular"/>
        </w:rPr>
        <w:t>W wypadku wniesienia odwołania przed doręczeniem decyzji kandydatowi bądź po upływie terminu do wniesienia odwołania Komisja Uczelniana postanowieniem stwierdza odpowiednio – niedopuszczalność odwołania bądź uchybienie terminu do wniesienia odwołania.</w:t>
      </w:r>
    </w:p>
    <w:p w:rsidR="001D4A3D" w:rsidRPr="000538BF" w:rsidRDefault="001D4A3D" w:rsidP="001D4A3D">
      <w:pPr>
        <w:pStyle w:val="Akapitzlist"/>
        <w:numPr>
          <w:ilvl w:val="0"/>
          <w:numId w:val="20"/>
        </w:numPr>
        <w:spacing w:after="0"/>
        <w:ind w:left="284" w:hanging="284"/>
        <w:jc w:val="both"/>
        <w:rPr>
          <w:rFonts w:ascii="ScalaSansPro-Regular" w:hAnsi="ScalaSansPro-Regular"/>
        </w:rPr>
      </w:pPr>
      <w:r w:rsidRPr="000538BF">
        <w:rPr>
          <w:rFonts w:ascii="ScalaSansPro-Regular" w:hAnsi="ScalaSansPro-Regular"/>
        </w:rPr>
        <w:t>Decyzja, od której nie wniesiono skutecznie odwołania, albo utrzymana w mocy przez Komisję Uczelnianą, staje się ostateczna i nie przysługuje od niej żaden dalszy środek zaskarżenia – tak w postępowaniu wewnątrzuczelnianym, jak i sądowo</w:t>
      </w:r>
      <w:r w:rsidR="00711BF8" w:rsidRPr="000538BF">
        <w:rPr>
          <w:rFonts w:ascii="ScalaSansPro-Regular" w:hAnsi="ScalaSansPro-Regular"/>
        </w:rPr>
        <w:t xml:space="preserve"> - </w:t>
      </w:r>
      <w:r w:rsidRPr="000538BF">
        <w:rPr>
          <w:rFonts w:ascii="ScalaSansPro-Regular" w:hAnsi="ScalaSansPro-Regular"/>
        </w:rPr>
        <w:t>administracyjnym.</w:t>
      </w:r>
    </w:p>
    <w:p w:rsidR="001D4A3D" w:rsidRPr="000538BF" w:rsidRDefault="001D4A3D" w:rsidP="001D4A3D">
      <w:pPr>
        <w:pStyle w:val="Akapitzlist"/>
        <w:numPr>
          <w:ilvl w:val="0"/>
          <w:numId w:val="20"/>
        </w:numPr>
        <w:spacing w:after="0"/>
        <w:ind w:left="284" w:hanging="284"/>
        <w:jc w:val="both"/>
        <w:rPr>
          <w:rFonts w:ascii="ScalaSansPro-Regular" w:hAnsi="ScalaSansPro-Regular"/>
        </w:rPr>
      </w:pPr>
      <w:r w:rsidRPr="000538BF">
        <w:rPr>
          <w:rFonts w:ascii="ScalaSansPro-Regular" w:hAnsi="ScalaSansPro-Regular"/>
        </w:rPr>
        <w:t>Kandydat zobowiązany jest do podpisania załączonej do decyzji umowy o warunkach odpłatności za studia i jej doręczenie/odesłanie do Akademii nie później niż do dnia 31 maja danego roku pod rygorem skreślenia z listy studentów.</w:t>
      </w:r>
    </w:p>
    <w:p w:rsidR="001D4A3D" w:rsidRPr="00C04F14" w:rsidRDefault="001D4A3D" w:rsidP="00C04F14">
      <w:pPr>
        <w:pStyle w:val="Akapitzlist"/>
        <w:numPr>
          <w:ilvl w:val="0"/>
          <w:numId w:val="20"/>
        </w:numPr>
        <w:spacing w:after="0"/>
        <w:ind w:left="284" w:hanging="284"/>
        <w:jc w:val="both"/>
        <w:rPr>
          <w:rFonts w:ascii="ScalaSansPro-Regular" w:hAnsi="ScalaSansPro-Regular"/>
        </w:rPr>
      </w:pPr>
      <w:r w:rsidRPr="000538BF">
        <w:rPr>
          <w:rFonts w:ascii="ScalaSansPro-Regular" w:hAnsi="ScalaSansPro-Regular"/>
        </w:rPr>
        <w:t>Do decyzji Komisji Uczelnianej stosuje się odpowiednio postanowienia ust. 1-3.</w:t>
      </w:r>
    </w:p>
    <w:p w:rsidR="001D4A3D" w:rsidRPr="000538BF" w:rsidRDefault="001D4A3D" w:rsidP="001D4A3D">
      <w:pPr>
        <w:spacing w:after="0"/>
        <w:jc w:val="center"/>
        <w:rPr>
          <w:rFonts w:ascii="ScalaSansPro-Regular" w:hAnsi="ScalaSansPro-Regular"/>
          <w:b/>
        </w:rPr>
      </w:pPr>
    </w:p>
    <w:p w:rsidR="001D4A3D" w:rsidRPr="000538BF" w:rsidRDefault="001D4A3D" w:rsidP="001D4A3D">
      <w:pPr>
        <w:spacing w:after="0"/>
        <w:jc w:val="center"/>
        <w:rPr>
          <w:rFonts w:ascii="ScalaSansPro-Regular" w:hAnsi="ScalaSansPro-Regular"/>
          <w:b/>
        </w:rPr>
      </w:pPr>
      <w:r w:rsidRPr="000538BF">
        <w:rPr>
          <w:rFonts w:ascii="ScalaSansPro-Regular" w:hAnsi="ScalaSansPro-Regular"/>
          <w:b/>
        </w:rPr>
        <w:lastRenderedPageBreak/>
        <w:t>Skutki procesu potwierdzania efektów uczenia się</w:t>
      </w:r>
    </w:p>
    <w:p w:rsidR="001D4A3D" w:rsidRPr="000538BF" w:rsidRDefault="001D4A3D" w:rsidP="001D4A3D">
      <w:pPr>
        <w:spacing w:after="0"/>
        <w:jc w:val="center"/>
        <w:rPr>
          <w:rFonts w:ascii="ScalaSansPro-Regular" w:hAnsi="ScalaSansPro-Regular"/>
        </w:rPr>
      </w:pPr>
    </w:p>
    <w:p w:rsidR="001D4A3D" w:rsidRPr="000538BF" w:rsidRDefault="001D4A3D" w:rsidP="001D4A3D">
      <w:pPr>
        <w:spacing w:after="0"/>
        <w:jc w:val="center"/>
        <w:rPr>
          <w:rFonts w:ascii="ScalaSansPro-Regular" w:hAnsi="ScalaSansPro-Regular"/>
        </w:rPr>
      </w:pPr>
      <w:r w:rsidRPr="000538BF">
        <w:rPr>
          <w:rFonts w:ascii="ScalaSansPro-Regular" w:hAnsi="ScalaSansPro-Regular"/>
        </w:rPr>
        <w:t>§ 17</w:t>
      </w:r>
    </w:p>
    <w:p w:rsidR="001D4A3D" w:rsidRPr="000538BF" w:rsidRDefault="001D4A3D" w:rsidP="001D4A3D">
      <w:pPr>
        <w:pStyle w:val="Akapitzlist"/>
        <w:numPr>
          <w:ilvl w:val="0"/>
          <w:numId w:val="31"/>
        </w:numPr>
        <w:spacing w:after="0"/>
        <w:ind w:left="284" w:hanging="284"/>
        <w:jc w:val="both"/>
        <w:rPr>
          <w:rFonts w:ascii="ScalaSansPro-Regular" w:hAnsi="ScalaSansPro-Regular"/>
        </w:rPr>
      </w:pPr>
      <w:r w:rsidRPr="000538BF">
        <w:rPr>
          <w:rFonts w:ascii="ScalaSansPro-Regular" w:hAnsi="ScalaSansPro-Regular"/>
        </w:rPr>
        <w:t>Kandydaci, którzy w procesie potwierdzania efektów uczenia się nie zostali przyjęci na studia, mogą ubiegać się o przyjęcie na studia w postępowaniu rekrutacyjnym prowadzonym przez Akademię na zasadach ogólnych wynikających z ustawy i przepisów wewnątrzuczelnianych.</w:t>
      </w:r>
    </w:p>
    <w:p w:rsidR="001D4A3D" w:rsidRPr="000538BF" w:rsidRDefault="001D4A3D" w:rsidP="001D4A3D">
      <w:pPr>
        <w:pStyle w:val="Akapitzlist"/>
        <w:numPr>
          <w:ilvl w:val="0"/>
          <w:numId w:val="31"/>
        </w:numPr>
        <w:spacing w:after="0"/>
        <w:ind w:left="284" w:hanging="284"/>
        <w:jc w:val="both"/>
        <w:rPr>
          <w:rFonts w:ascii="ScalaSansPro-Regular" w:hAnsi="ScalaSansPro-Regular"/>
        </w:rPr>
      </w:pPr>
      <w:r w:rsidRPr="000538BF">
        <w:rPr>
          <w:rFonts w:ascii="ScalaSansPro-Regular" w:hAnsi="ScalaSansPro-Regular"/>
        </w:rPr>
        <w:t>W przypadku przyjęcia na studia w postępowaniu rekrutacyjnym kandydatów, którzy uprzednio w toku procesu potwierdzania efektów uczenia się w Akademii – w danym roku kalendarzowym – uzyskali potwierdzenie efektów uczenia się w ramach danego kierunku, poziomu i profilu kształcenia oraz uzyskali zaliczenie choćby jednego przedmiotu (lecz nie zostali w tym procesie przyjęci na studia), możliwe jest w toku studiów decyzją kierownika jednostki uwzględnienie zaliczenia przedmiotu zaliczonego w procesie potwierdzania efektów uczenia się.</w:t>
      </w:r>
    </w:p>
    <w:p w:rsidR="001D4A3D" w:rsidRPr="000538BF" w:rsidRDefault="001D4A3D" w:rsidP="001D4A3D">
      <w:pPr>
        <w:pStyle w:val="Akapitzlist"/>
        <w:numPr>
          <w:ilvl w:val="0"/>
          <w:numId w:val="31"/>
        </w:numPr>
        <w:spacing w:after="0"/>
        <w:ind w:left="284" w:hanging="284"/>
        <w:jc w:val="both"/>
        <w:rPr>
          <w:rFonts w:ascii="ScalaSansPro-Regular" w:hAnsi="ScalaSansPro-Regular"/>
        </w:rPr>
      </w:pPr>
      <w:r w:rsidRPr="000538BF">
        <w:rPr>
          <w:rFonts w:ascii="ScalaSansPro-Regular" w:hAnsi="ScalaSansPro-Regular"/>
        </w:rPr>
        <w:t xml:space="preserve">Kandydaci przyjęci na studia w wyniku potwierdzenia efektów uczenia się będą włączeni do regularnego trybu studiów i zwolnieni z realizacji przedmiotów, które zostały im zaliczone w procesie potwierdzania efektów uczenia się. </w:t>
      </w:r>
    </w:p>
    <w:p w:rsidR="001D4A3D" w:rsidRPr="000538BF" w:rsidRDefault="001D4A3D" w:rsidP="001D4A3D">
      <w:pPr>
        <w:pStyle w:val="Akapitzlist"/>
        <w:numPr>
          <w:ilvl w:val="0"/>
          <w:numId w:val="31"/>
        </w:numPr>
        <w:spacing w:after="0"/>
        <w:ind w:left="284" w:hanging="284"/>
        <w:jc w:val="both"/>
        <w:rPr>
          <w:rFonts w:ascii="ScalaSansPro-Regular" w:hAnsi="ScalaSansPro-Regular"/>
        </w:rPr>
      </w:pPr>
      <w:r w:rsidRPr="000538BF">
        <w:rPr>
          <w:rFonts w:ascii="ScalaSansPro-Regular" w:hAnsi="ScalaSansPro-Regular"/>
        </w:rPr>
        <w:t xml:space="preserve">Warunki odbywania studiów przez kandydatów przyjętych na studia w wyniku potwierdzenia efektów uczenia się, z uwzględnieniem indywidualnego planu studiów i opieki naukowej, określa Regulamin Studiów. </w:t>
      </w:r>
    </w:p>
    <w:p w:rsidR="001D4A3D" w:rsidRPr="000538BF" w:rsidRDefault="001D4A3D" w:rsidP="001D4A3D">
      <w:pPr>
        <w:pStyle w:val="Akapitzlist"/>
        <w:numPr>
          <w:ilvl w:val="0"/>
          <w:numId w:val="31"/>
        </w:numPr>
        <w:spacing w:after="0"/>
        <w:ind w:left="284" w:hanging="284"/>
        <w:jc w:val="both"/>
        <w:rPr>
          <w:rFonts w:ascii="ScalaSansPro-Regular" w:hAnsi="ScalaSansPro-Regular"/>
        </w:rPr>
      </w:pPr>
      <w:r w:rsidRPr="000538BF">
        <w:rPr>
          <w:rFonts w:ascii="ScalaSansPro-Regular" w:hAnsi="ScalaSansPro-Regular"/>
        </w:rPr>
        <w:t xml:space="preserve">Osoba, która w wyniku potwierdzenia efektów uczenia się została przyjęta na studia niestacjonarne będzie miała proporcjonalnie pomniejszoną opłatę za ten semestr, w którym realizowany jest przedmiot uznany w wyniku potwierdzania efektów uczenia się (w przeliczeniu na wartość 1 ECTS zgodnie z obowiązującymi kosztami studiów niestacjonarnych na danym kierunku). </w:t>
      </w:r>
    </w:p>
    <w:p w:rsidR="001D4A3D" w:rsidRPr="000538BF" w:rsidRDefault="001D4A3D" w:rsidP="001D4A3D">
      <w:pPr>
        <w:pStyle w:val="Akapitzlist"/>
        <w:numPr>
          <w:ilvl w:val="0"/>
          <w:numId w:val="31"/>
        </w:numPr>
        <w:spacing w:after="0"/>
        <w:ind w:left="284" w:hanging="284"/>
        <w:jc w:val="both"/>
        <w:rPr>
          <w:rFonts w:ascii="ScalaSansPro-Regular" w:hAnsi="ScalaSansPro-Regular"/>
        </w:rPr>
      </w:pPr>
      <w:r w:rsidRPr="000538BF">
        <w:rPr>
          <w:rFonts w:ascii="ScalaSansPro-Regular" w:hAnsi="ScalaSansPro-Regular"/>
        </w:rPr>
        <w:t xml:space="preserve">Zaliczenie zajęć w wyniku potwierdzenia efektów uczenia się, dokumentowane jest w dokumentacji przebiegu studiów. </w:t>
      </w:r>
    </w:p>
    <w:p w:rsidR="001D4A3D" w:rsidRPr="000538BF" w:rsidRDefault="001D4A3D" w:rsidP="001D4A3D">
      <w:pPr>
        <w:pStyle w:val="Akapitzlist"/>
        <w:numPr>
          <w:ilvl w:val="0"/>
          <w:numId w:val="31"/>
        </w:numPr>
        <w:spacing w:after="0"/>
        <w:ind w:left="284" w:hanging="284"/>
        <w:jc w:val="both"/>
        <w:rPr>
          <w:rFonts w:ascii="ScalaSansPro-Regular" w:hAnsi="ScalaSansPro-Regular"/>
        </w:rPr>
      </w:pPr>
      <w:r w:rsidRPr="000538BF">
        <w:rPr>
          <w:rFonts w:ascii="ScalaSansPro-Regular" w:hAnsi="ScalaSansPro-Regular"/>
        </w:rPr>
        <w:t xml:space="preserve">Do średniej studiów wlicza się oceny uzyskane z przedmiotów zaliczonych w ramach procesu potwierdzania efektów uczenia się. </w:t>
      </w:r>
    </w:p>
    <w:p w:rsidR="001D4A3D" w:rsidRPr="000538BF" w:rsidRDefault="001D4A3D" w:rsidP="001D4A3D">
      <w:pPr>
        <w:rPr>
          <w:rFonts w:ascii="ScalaSansPro-Regular" w:hAnsi="ScalaSansPro-Regular"/>
        </w:rPr>
      </w:pPr>
    </w:p>
    <w:p w:rsidR="001D4A3D" w:rsidRPr="000538BF" w:rsidRDefault="001D4A3D" w:rsidP="001D4A3D">
      <w:pPr>
        <w:rPr>
          <w:rFonts w:ascii="ScalaSansPro-Regular" w:hAnsi="ScalaSansPro-Regular"/>
        </w:rPr>
      </w:pPr>
    </w:p>
    <w:p w:rsidR="001D4A3D" w:rsidRPr="00C04F14" w:rsidRDefault="001D4A3D" w:rsidP="001D4A3D">
      <w:pPr>
        <w:rPr>
          <w:rFonts w:ascii="ScalaSansPro-Regular" w:hAnsi="ScalaSansPro-Regular"/>
          <w:sz w:val="24"/>
          <w:szCs w:val="24"/>
        </w:rPr>
      </w:pPr>
    </w:p>
    <w:p w:rsidR="003D3CC1" w:rsidRPr="00C04F14" w:rsidRDefault="00C04F14">
      <w:pPr>
        <w:rPr>
          <w:rFonts w:ascii="ScalaSansPro-Regular" w:hAnsi="ScalaSansPro-Regular"/>
          <w:b/>
          <w:sz w:val="24"/>
          <w:szCs w:val="24"/>
        </w:rPr>
      </w:pPr>
      <w:r w:rsidRPr="00C04F14">
        <w:rPr>
          <w:rFonts w:ascii="ScalaSansPro-Regular" w:hAnsi="ScalaSansPro-Regular"/>
          <w:b/>
          <w:sz w:val="24"/>
          <w:szCs w:val="24"/>
        </w:rPr>
        <w:t xml:space="preserve">                                                                                                </w:t>
      </w:r>
      <w:r>
        <w:rPr>
          <w:rFonts w:ascii="ScalaSansPro-Regular" w:hAnsi="ScalaSansPro-Regular"/>
          <w:b/>
          <w:sz w:val="24"/>
          <w:szCs w:val="24"/>
        </w:rPr>
        <w:t xml:space="preserve">            </w:t>
      </w:r>
      <w:r w:rsidRPr="00C04F14">
        <w:rPr>
          <w:rFonts w:ascii="ScalaSansPro-Regular" w:hAnsi="ScalaSansPro-Regular"/>
          <w:b/>
          <w:sz w:val="24"/>
          <w:szCs w:val="24"/>
        </w:rPr>
        <w:t>Rektor</w:t>
      </w:r>
    </w:p>
    <w:p w:rsidR="00C04F14" w:rsidRPr="00C04F14" w:rsidRDefault="00C04F14">
      <w:pPr>
        <w:rPr>
          <w:rFonts w:ascii="ScalaSansPro-Regular" w:hAnsi="ScalaSansPro-Regular"/>
          <w:b/>
          <w:sz w:val="24"/>
          <w:szCs w:val="24"/>
        </w:rPr>
      </w:pPr>
      <w:r w:rsidRPr="00C04F14">
        <w:rPr>
          <w:rFonts w:ascii="ScalaSansPro-Regular" w:hAnsi="ScalaSansPro-Regular"/>
          <w:b/>
          <w:sz w:val="24"/>
          <w:szCs w:val="24"/>
        </w:rPr>
        <w:t xml:space="preserve">                                                                      </w:t>
      </w:r>
      <w:r>
        <w:rPr>
          <w:rFonts w:ascii="ScalaSansPro-Regular" w:hAnsi="ScalaSansPro-Regular"/>
          <w:b/>
          <w:sz w:val="24"/>
          <w:szCs w:val="24"/>
        </w:rPr>
        <w:t xml:space="preserve">                            </w:t>
      </w:r>
      <w:r w:rsidR="00F6446B">
        <w:rPr>
          <w:rFonts w:ascii="ScalaSansPro-Regular" w:hAnsi="ScalaSansPro-Regular"/>
          <w:b/>
          <w:sz w:val="24"/>
          <w:szCs w:val="24"/>
        </w:rPr>
        <w:t>( - )</w:t>
      </w:r>
      <w:bookmarkStart w:id="0" w:name="_GoBack"/>
      <w:bookmarkEnd w:id="0"/>
      <w:r>
        <w:rPr>
          <w:rFonts w:ascii="ScalaSansPro-Regular" w:hAnsi="ScalaSansPro-Regular"/>
          <w:b/>
          <w:sz w:val="24"/>
          <w:szCs w:val="24"/>
        </w:rPr>
        <w:t xml:space="preserve"> </w:t>
      </w:r>
      <w:r w:rsidRPr="00C04F14">
        <w:rPr>
          <w:rFonts w:ascii="ScalaSansPro-Regular" w:hAnsi="ScalaSansPro-Regular"/>
          <w:b/>
          <w:sz w:val="24"/>
          <w:szCs w:val="24"/>
        </w:rPr>
        <w:t>prof. dr hab. A. Cygan</w:t>
      </w:r>
    </w:p>
    <w:p w:rsidR="00C04F14" w:rsidRPr="00C04F14" w:rsidRDefault="00C04F14">
      <w:pPr>
        <w:rPr>
          <w:rFonts w:ascii="ScalaSansPro-Regular" w:hAnsi="ScalaSansPro-Regular"/>
          <w:sz w:val="24"/>
          <w:szCs w:val="24"/>
        </w:rPr>
      </w:pPr>
    </w:p>
    <w:sectPr w:rsidR="00C04F14" w:rsidRPr="00C04F14" w:rsidSect="0077097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6F86" w:rsidRDefault="00806F86" w:rsidP="001D4A3D">
      <w:pPr>
        <w:spacing w:after="0" w:line="240" w:lineRule="auto"/>
      </w:pPr>
      <w:r>
        <w:separator/>
      </w:r>
    </w:p>
  </w:endnote>
  <w:endnote w:type="continuationSeparator" w:id="0">
    <w:p w:rsidR="00806F86" w:rsidRDefault="00806F86" w:rsidP="001D4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calaSansPro-Regular">
    <w:panose1 w:val="02000503050000020003"/>
    <w:charset w:val="00"/>
    <w:family w:val="modern"/>
    <w:notTrueType/>
    <w:pitch w:val="variable"/>
    <w:sig w:usb0="800000AF" w:usb1="4000E04A" w:usb2="00000000" w:usb3="00000000" w:csb0="00000093"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6403060"/>
      <w:docPartObj>
        <w:docPartGallery w:val="Page Numbers (Bottom of Page)"/>
        <w:docPartUnique/>
      </w:docPartObj>
    </w:sdtPr>
    <w:sdtEndPr/>
    <w:sdtContent>
      <w:p w:rsidR="001D4A3D" w:rsidRDefault="001D4A3D">
        <w:pPr>
          <w:pStyle w:val="Stopka"/>
          <w:jc w:val="right"/>
        </w:pPr>
        <w:r>
          <w:fldChar w:fldCharType="begin"/>
        </w:r>
        <w:r>
          <w:instrText>PAGE   \* MERGEFORMAT</w:instrText>
        </w:r>
        <w:r>
          <w:fldChar w:fldCharType="separate"/>
        </w:r>
        <w:r w:rsidR="00F6446B">
          <w:rPr>
            <w:noProof/>
          </w:rPr>
          <w:t>10</w:t>
        </w:r>
        <w:r>
          <w:fldChar w:fldCharType="end"/>
        </w:r>
      </w:p>
    </w:sdtContent>
  </w:sdt>
  <w:p w:rsidR="001D4A3D" w:rsidRDefault="001D4A3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6F86" w:rsidRDefault="00806F86" w:rsidP="001D4A3D">
      <w:pPr>
        <w:spacing w:after="0" w:line="240" w:lineRule="auto"/>
      </w:pPr>
      <w:r>
        <w:separator/>
      </w:r>
    </w:p>
  </w:footnote>
  <w:footnote w:type="continuationSeparator" w:id="0">
    <w:p w:rsidR="00806F86" w:rsidRDefault="00806F86" w:rsidP="001D4A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63606"/>
    <w:multiLevelType w:val="hybridMultilevel"/>
    <w:tmpl w:val="AB683A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B57D5F"/>
    <w:multiLevelType w:val="hybridMultilevel"/>
    <w:tmpl w:val="EE2E240C"/>
    <w:lvl w:ilvl="0" w:tplc="04150019">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 w15:restartNumberingAfterBreak="0">
    <w:nsid w:val="07CC5FFF"/>
    <w:multiLevelType w:val="hybridMultilevel"/>
    <w:tmpl w:val="02220E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560AC0"/>
    <w:multiLevelType w:val="hybridMultilevel"/>
    <w:tmpl w:val="1B0887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8D0072"/>
    <w:multiLevelType w:val="hybridMultilevel"/>
    <w:tmpl w:val="7B2A94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1F7E08"/>
    <w:multiLevelType w:val="hybridMultilevel"/>
    <w:tmpl w:val="7DD4C778"/>
    <w:lvl w:ilvl="0" w:tplc="0415000F">
      <w:start w:val="1"/>
      <w:numFmt w:val="decimal"/>
      <w:lvlText w:val="%1."/>
      <w:lvlJc w:val="left"/>
      <w:pPr>
        <w:ind w:left="2345"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535B5C"/>
    <w:multiLevelType w:val="hybridMultilevel"/>
    <w:tmpl w:val="286E8DDA"/>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1A5B4C29"/>
    <w:multiLevelType w:val="hybridMultilevel"/>
    <w:tmpl w:val="12F0F5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D016CB"/>
    <w:multiLevelType w:val="hybridMultilevel"/>
    <w:tmpl w:val="606A1E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A04A58"/>
    <w:multiLevelType w:val="hybridMultilevel"/>
    <w:tmpl w:val="B8343B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2D3C8B"/>
    <w:multiLevelType w:val="hybridMultilevel"/>
    <w:tmpl w:val="1AEE9F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A63FA0"/>
    <w:multiLevelType w:val="hybridMultilevel"/>
    <w:tmpl w:val="5358DB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BC5214"/>
    <w:multiLevelType w:val="hybridMultilevel"/>
    <w:tmpl w:val="250C99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5141F41"/>
    <w:multiLevelType w:val="hybridMultilevel"/>
    <w:tmpl w:val="738413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BB0439A"/>
    <w:multiLevelType w:val="hybridMultilevel"/>
    <w:tmpl w:val="54209F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C3E70CA"/>
    <w:multiLevelType w:val="hybridMultilevel"/>
    <w:tmpl w:val="02220E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5CB5B81"/>
    <w:multiLevelType w:val="hybridMultilevel"/>
    <w:tmpl w:val="353E0C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9995055"/>
    <w:multiLevelType w:val="hybridMultilevel"/>
    <w:tmpl w:val="20B2AF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0C168A2"/>
    <w:multiLevelType w:val="hybridMultilevel"/>
    <w:tmpl w:val="9F7E54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BCF1756"/>
    <w:multiLevelType w:val="hybridMultilevel"/>
    <w:tmpl w:val="C81C73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BDE4116"/>
    <w:multiLevelType w:val="hybridMultilevel"/>
    <w:tmpl w:val="2F785A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CC604F9"/>
    <w:multiLevelType w:val="hybridMultilevel"/>
    <w:tmpl w:val="738413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F5F2DFC"/>
    <w:multiLevelType w:val="hybridMultilevel"/>
    <w:tmpl w:val="21C83C2A"/>
    <w:lvl w:ilvl="0" w:tplc="0415000F">
      <w:start w:val="1"/>
      <w:numFmt w:val="decimal"/>
      <w:lvlText w:val="%1."/>
      <w:lvlJc w:val="left"/>
      <w:pPr>
        <w:ind w:left="720" w:hanging="360"/>
      </w:pPr>
    </w:lvl>
    <w:lvl w:ilvl="1" w:tplc="4EAA5D5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64A2A36"/>
    <w:multiLevelType w:val="hybridMultilevel"/>
    <w:tmpl w:val="477852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6CC277C"/>
    <w:multiLevelType w:val="hybridMultilevel"/>
    <w:tmpl w:val="40823E3E"/>
    <w:lvl w:ilvl="0" w:tplc="23306ED0">
      <w:start w:val="1"/>
      <w:numFmt w:val="decimal"/>
      <w:lvlText w:val="%1."/>
      <w:lvlJc w:val="left"/>
      <w:pPr>
        <w:ind w:left="360" w:hanging="360"/>
      </w:pPr>
      <w:rPr>
        <w:color w:val="auto"/>
      </w:rPr>
    </w:lvl>
    <w:lvl w:ilvl="1" w:tplc="3B6E4CA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D80547D"/>
    <w:multiLevelType w:val="hybridMultilevel"/>
    <w:tmpl w:val="F32ECE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0293F1E"/>
    <w:multiLevelType w:val="hybridMultilevel"/>
    <w:tmpl w:val="4338400E"/>
    <w:lvl w:ilvl="0" w:tplc="0415000F">
      <w:start w:val="1"/>
      <w:numFmt w:val="decimal"/>
      <w:lvlText w:val="%1."/>
      <w:lvlJc w:val="left"/>
      <w:pPr>
        <w:ind w:left="720" w:hanging="360"/>
      </w:pPr>
    </w:lvl>
    <w:lvl w:ilvl="1" w:tplc="3B6E4CA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77D035F"/>
    <w:multiLevelType w:val="hybridMultilevel"/>
    <w:tmpl w:val="0FF6C9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B1B4869"/>
    <w:multiLevelType w:val="hybridMultilevel"/>
    <w:tmpl w:val="21C83C2A"/>
    <w:lvl w:ilvl="0" w:tplc="0415000F">
      <w:start w:val="1"/>
      <w:numFmt w:val="decimal"/>
      <w:lvlText w:val="%1."/>
      <w:lvlJc w:val="left"/>
      <w:pPr>
        <w:ind w:left="720" w:hanging="360"/>
      </w:pPr>
    </w:lvl>
    <w:lvl w:ilvl="1" w:tplc="4EAA5D5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0E1421F"/>
    <w:multiLevelType w:val="hybridMultilevel"/>
    <w:tmpl w:val="D4FC54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2FB4764"/>
    <w:multiLevelType w:val="hybridMultilevel"/>
    <w:tmpl w:val="343C39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BF126AB"/>
    <w:multiLevelType w:val="hybridMultilevel"/>
    <w:tmpl w:val="5358DB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D7E13BF"/>
    <w:multiLevelType w:val="hybridMultilevel"/>
    <w:tmpl w:val="64A473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24"/>
  </w:num>
  <w:num w:numId="3">
    <w:abstractNumId w:val="0"/>
  </w:num>
  <w:num w:numId="4">
    <w:abstractNumId w:val="22"/>
  </w:num>
  <w:num w:numId="5">
    <w:abstractNumId w:val="4"/>
  </w:num>
  <w:num w:numId="6">
    <w:abstractNumId w:val="18"/>
  </w:num>
  <w:num w:numId="7">
    <w:abstractNumId w:val="26"/>
  </w:num>
  <w:num w:numId="8">
    <w:abstractNumId w:val="25"/>
  </w:num>
  <w:num w:numId="9">
    <w:abstractNumId w:val="8"/>
  </w:num>
  <w:num w:numId="10">
    <w:abstractNumId w:val="12"/>
  </w:num>
  <w:num w:numId="11">
    <w:abstractNumId w:val="27"/>
  </w:num>
  <w:num w:numId="12">
    <w:abstractNumId w:val="14"/>
  </w:num>
  <w:num w:numId="13">
    <w:abstractNumId w:val="30"/>
  </w:num>
  <w:num w:numId="14">
    <w:abstractNumId w:val="32"/>
  </w:num>
  <w:num w:numId="15">
    <w:abstractNumId w:val="23"/>
  </w:num>
  <w:num w:numId="16">
    <w:abstractNumId w:val="3"/>
  </w:num>
  <w:num w:numId="17">
    <w:abstractNumId w:val="2"/>
  </w:num>
  <w:num w:numId="18">
    <w:abstractNumId w:val="19"/>
  </w:num>
  <w:num w:numId="19">
    <w:abstractNumId w:val="10"/>
  </w:num>
  <w:num w:numId="20">
    <w:abstractNumId w:val="13"/>
  </w:num>
  <w:num w:numId="21">
    <w:abstractNumId w:val="28"/>
  </w:num>
  <w:num w:numId="22">
    <w:abstractNumId w:val="29"/>
  </w:num>
  <w:num w:numId="23">
    <w:abstractNumId w:val="16"/>
  </w:num>
  <w:num w:numId="24">
    <w:abstractNumId w:val="20"/>
  </w:num>
  <w:num w:numId="25">
    <w:abstractNumId w:val="15"/>
  </w:num>
  <w:num w:numId="26">
    <w:abstractNumId w:val="7"/>
  </w:num>
  <w:num w:numId="27">
    <w:abstractNumId w:val="17"/>
  </w:num>
  <w:num w:numId="28">
    <w:abstractNumId w:val="9"/>
  </w:num>
  <w:num w:numId="29">
    <w:abstractNumId w:val="11"/>
  </w:num>
  <w:num w:numId="30">
    <w:abstractNumId w:val="31"/>
  </w:num>
  <w:num w:numId="31">
    <w:abstractNumId w:val="21"/>
  </w:num>
  <w:num w:numId="32">
    <w:abstractNumId w:val="1"/>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A3D"/>
    <w:rsid w:val="000538BF"/>
    <w:rsid w:val="000A35C3"/>
    <w:rsid w:val="000E7FCF"/>
    <w:rsid w:val="001D4A3D"/>
    <w:rsid w:val="00355F1C"/>
    <w:rsid w:val="003D3CC1"/>
    <w:rsid w:val="003E1306"/>
    <w:rsid w:val="0049541D"/>
    <w:rsid w:val="004F3F07"/>
    <w:rsid w:val="005E18B2"/>
    <w:rsid w:val="00675E79"/>
    <w:rsid w:val="006958A4"/>
    <w:rsid w:val="00711BF8"/>
    <w:rsid w:val="00806F86"/>
    <w:rsid w:val="0088130B"/>
    <w:rsid w:val="009028BF"/>
    <w:rsid w:val="00BF6A54"/>
    <w:rsid w:val="00C04F14"/>
    <w:rsid w:val="00DF139F"/>
    <w:rsid w:val="00E20312"/>
    <w:rsid w:val="00F644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90404"/>
  <w15:docId w15:val="{BD279A50-99AA-4685-8732-B85E50000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D4A3D"/>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D4A3D"/>
    <w:pPr>
      <w:ind w:left="720"/>
      <w:contextualSpacing/>
    </w:pPr>
  </w:style>
  <w:style w:type="paragraph" w:styleId="Nagwek">
    <w:name w:val="header"/>
    <w:basedOn w:val="Normalny"/>
    <w:link w:val="NagwekZnak"/>
    <w:uiPriority w:val="99"/>
    <w:unhideWhenUsed/>
    <w:rsid w:val="001D4A3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D4A3D"/>
    <w:rPr>
      <w:rFonts w:ascii="Calibri" w:eastAsia="Calibri" w:hAnsi="Calibri" w:cs="Times New Roman"/>
    </w:rPr>
  </w:style>
  <w:style w:type="paragraph" w:styleId="Stopka">
    <w:name w:val="footer"/>
    <w:basedOn w:val="Normalny"/>
    <w:link w:val="StopkaZnak"/>
    <w:uiPriority w:val="99"/>
    <w:unhideWhenUsed/>
    <w:rsid w:val="001D4A3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D4A3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10933-93AB-4BD6-A393-C1F582A0D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10</Pages>
  <Words>3962</Words>
  <Characters>23773</Characters>
  <Application>Microsoft Office Word</Application>
  <DocSecurity>0</DocSecurity>
  <Lines>198</Lines>
  <Paragraphs>55</Paragraphs>
  <ScaleCrop>false</ScaleCrop>
  <HeadingPairs>
    <vt:vector size="2" baseType="variant">
      <vt:variant>
        <vt:lpstr>Tytuł</vt:lpstr>
      </vt:variant>
      <vt:variant>
        <vt:i4>1</vt:i4>
      </vt:variant>
    </vt:vector>
  </HeadingPairs>
  <TitlesOfParts>
    <vt:vector size="1" baseType="lpstr">
      <vt:lpstr/>
    </vt:vector>
  </TitlesOfParts>
  <Company>ASP Katowice</Company>
  <LinksUpToDate>false</LinksUpToDate>
  <CharactersWithSpaces>27680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Śliwiok-Szczypka</dc:creator>
  <cp:lastModifiedBy>Teresa Śliwiok-Szczypka</cp:lastModifiedBy>
  <cp:revision>6</cp:revision>
  <cp:lastPrinted>2015-10-20T07:57:00Z</cp:lastPrinted>
  <dcterms:created xsi:type="dcterms:W3CDTF">2015-10-07T11:41:00Z</dcterms:created>
  <dcterms:modified xsi:type="dcterms:W3CDTF">2018-02-26T08:24:00Z</dcterms:modified>
</cp:coreProperties>
</file>